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501" w:rsidRPr="00B606D4" w:rsidRDefault="002A1501" w:rsidP="001F3121">
      <w:pPr>
        <w:jc w:val="center"/>
        <w:rPr>
          <w:b/>
          <w:bCs/>
          <w:u w:val="single"/>
        </w:rPr>
      </w:pPr>
      <w:bookmarkStart w:id="0" w:name="_GoBack"/>
      <w:bookmarkEnd w:id="0"/>
      <w:r w:rsidRPr="00B606D4">
        <w:rPr>
          <w:b/>
          <w:bCs/>
          <w:u w:val="single"/>
        </w:rPr>
        <w:t xml:space="preserve">PART </w:t>
      </w:r>
      <w:r w:rsidR="00A63740">
        <w:rPr>
          <w:b/>
          <w:bCs/>
          <w:u w:val="single"/>
        </w:rPr>
        <w:t>R</w:t>
      </w:r>
      <w:r w:rsidR="00C15FC5" w:rsidRPr="00B606D4">
        <w:rPr>
          <w:b/>
          <w:bCs/>
          <w:u w:val="single"/>
        </w:rPr>
        <w:t>6</w:t>
      </w:r>
      <w:r w:rsidR="00ED1D13">
        <w:rPr>
          <w:b/>
          <w:bCs/>
          <w:u w:val="single"/>
        </w:rPr>
        <w:t>7</w:t>
      </w:r>
    </w:p>
    <w:p w:rsidR="002A1501" w:rsidRPr="00B606D4" w:rsidRDefault="002A1501" w:rsidP="001F3121">
      <w:pPr>
        <w:jc w:val="center"/>
        <w:rPr>
          <w:b/>
          <w:bCs/>
          <w:u w:val="single"/>
        </w:rPr>
      </w:pPr>
    </w:p>
    <w:p w:rsidR="002A1501" w:rsidRPr="00B606D4" w:rsidRDefault="00AB653C" w:rsidP="001F3121">
      <w:pPr>
        <w:jc w:val="center"/>
        <w:rPr>
          <w:b/>
          <w:bCs/>
          <w:u w:val="single"/>
        </w:rPr>
      </w:pPr>
      <w:r>
        <w:rPr>
          <w:b/>
          <w:bCs/>
          <w:u w:val="single"/>
        </w:rPr>
        <w:t>IMAGING EQUIPMENT</w:t>
      </w:r>
    </w:p>
    <w:p w:rsidR="002A1501" w:rsidRPr="00B606D4" w:rsidRDefault="002A1501" w:rsidP="00160E5E">
      <w:pPr>
        <w:jc w:val="left"/>
      </w:pPr>
    </w:p>
    <w:p w:rsidR="002A1501" w:rsidRPr="00B606D4" w:rsidRDefault="002A1501" w:rsidP="001F3121">
      <w:pPr>
        <w:jc w:val="left"/>
      </w:pPr>
    </w:p>
    <w:p w:rsidR="002A1501" w:rsidRPr="00B606D4" w:rsidRDefault="002A1501" w:rsidP="001F3121">
      <w:pPr>
        <w:jc w:val="left"/>
        <w:rPr>
          <w:b/>
          <w:bCs/>
          <w:u w:val="single"/>
        </w:rPr>
      </w:pPr>
      <w:r w:rsidRPr="00B606D4">
        <w:rPr>
          <w:b/>
          <w:bCs/>
          <w:u w:val="single"/>
        </w:rPr>
        <w:t>CONTENTS</w:t>
      </w:r>
    </w:p>
    <w:p w:rsidR="002A1501" w:rsidRPr="00B606D4" w:rsidRDefault="002A1501" w:rsidP="000D6CF4"/>
    <w:p w:rsidR="002A1501" w:rsidRPr="00B606D4" w:rsidRDefault="002A1501" w:rsidP="00624F64">
      <w:pPr>
        <w:numPr>
          <w:ilvl w:val="0"/>
          <w:numId w:val="32"/>
        </w:numPr>
        <w:tabs>
          <w:tab w:val="clear" w:pos="720"/>
        </w:tabs>
        <w:ind w:left="0" w:firstLine="0"/>
      </w:pPr>
      <w:r w:rsidRPr="00B606D4">
        <w:t>General</w:t>
      </w:r>
    </w:p>
    <w:p w:rsidR="002A1501" w:rsidRPr="00B606D4" w:rsidRDefault="00455539" w:rsidP="00624F64">
      <w:pPr>
        <w:numPr>
          <w:ilvl w:val="0"/>
          <w:numId w:val="32"/>
        </w:numPr>
        <w:tabs>
          <w:tab w:val="clear" w:pos="720"/>
        </w:tabs>
        <w:ind w:left="0" w:firstLine="0"/>
      </w:pPr>
      <w:r w:rsidRPr="00B606D4">
        <w:t>Quality Requirements</w:t>
      </w:r>
    </w:p>
    <w:p w:rsidR="002A1501" w:rsidRPr="00B606D4" w:rsidRDefault="00455539" w:rsidP="00624F64">
      <w:pPr>
        <w:numPr>
          <w:ilvl w:val="0"/>
          <w:numId w:val="32"/>
        </w:numPr>
        <w:tabs>
          <w:tab w:val="clear" w:pos="720"/>
        </w:tabs>
        <w:ind w:left="0" w:firstLine="0"/>
      </w:pPr>
      <w:r w:rsidRPr="00B606D4">
        <w:t>Equipment Requirements</w:t>
      </w:r>
    </w:p>
    <w:p w:rsidR="002A1501" w:rsidRDefault="003F1B1A" w:rsidP="00624F64">
      <w:pPr>
        <w:numPr>
          <w:ilvl w:val="0"/>
          <w:numId w:val="32"/>
        </w:numPr>
        <w:tabs>
          <w:tab w:val="clear" w:pos="720"/>
        </w:tabs>
        <w:ind w:left="0" w:firstLine="0"/>
      </w:pPr>
      <w:r>
        <w:t>Operational Requirements</w:t>
      </w:r>
    </w:p>
    <w:p w:rsidR="00F4497B" w:rsidRDefault="003F1B1A" w:rsidP="00624F64">
      <w:pPr>
        <w:numPr>
          <w:ilvl w:val="0"/>
          <w:numId w:val="32"/>
        </w:numPr>
        <w:tabs>
          <w:tab w:val="clear" w:pos="720"/>
        </w:tabs>
        <w:ind w:left="0" w:firstLine="0"/>
      </w:pPr>
      <w:r>
        <w:t>Telecommunication Requirements</w:t>
      </w:r>
    </w:p>
    <w:p w:rsidR="00F4497B" w:rsidRDefault="00F4497B" w:rsidP="00624F64">
      <w:pPr>
        <w:numPr>
          <w:ilvl w:val="0"/>
          <w:numId w:val="32"/>
        </w:numPr>
        <w:tabs>
          <w:tab w:val="clear" w:pos="720"/>
        </w:tabs>
        <w:ind w:left="0" w:firstLine="0"/>
      </w:pPr>
      <w:r>
        <w:t>Hold Points</w:t>
      </w:r>
    </w:p>
    <w:p w:rsidR="00F4497B" w:rsidRDefault="00F4497B" w:rsidP="00624F64">
      <w:pPr>
        <w:numPr>
          <w:ilvl w:val="0"/>
          <w:numId w:val="32"/>
        </w:numPr>
        <w:tabs>
          <w:tab w:val="clear" w:pos="720"/>
        </w:tabs>
        <w:ind w:left="0" w:firstLine="0"/>
      </w:pPr>
      <w:r>
        <w:t>Verification Requirements and Records</w:t>
      </w:r>
    </w:p>
    <w:p w:rsidR="002A1501" w:rsidRPr="00B606D4" w:rsidRDefault="002A1501" w:rsidP="000D6CF4"/>
    <w:p w:rsidR="002A1501" w:rsidRPr="00B606D4" w:rsidRDefault="002A1501" w:rsidP="001F3121">
      <w:pPr>
        <w:jc w:val="left"/>
        <w:rPr>
          <w:b/>
          <w:bCs/>
        </w:rPr>
      </w:pPr>
      <w:r w:rsidRPr="00B606D4">
        <w:rPr>
          <w:b/>
          <w:bCs/>
        </w:rPr>
        <w:t>1.</w:t>
      </w:r>
      <w:r w:rsidRPr="00B606D4">
        <w:rPr>
          <w:b/>
          <w:bCs/>
        </w:rPr>
        <w:tab/>
      </w:r>
      <w:r w:rsidRPr="00B606D4">
        <w:rPr>
          <w:b/>
          <w:bCs/>
          <w:u w:val="single"/>
        </w:rPr>
        <w:t>GENERAL</w:t>
      </w:r>
    </w:p>
    <w:p w:rsidR="002A1501" w:rsidRPr="00B606D4" w:rsidRDefault="002A1501" w:rsidP="001F3121">
      <w:pPr>
        <w:jc w:val="left"/>
      </w:pPr>
    </w:p>
    <w:p w:rsidR="008E634A" w:rsidRPr="00383FC4" w:rsidRDefault="008E634A" w:rsidP="001F3121">
      <w:pPr>
        <w:jc w:val="left"/>
      </w:pPr>
      <w:r w:rsidRPr="00383FC4">
        <w:t xml:space="preserve">This Part specifies the requirements for the supply of </w:t>
      </w:r>
      <w:r w:rsidRPr="00AB653C">
        <w:t xml:space="preserve">imaging </w:t>
      </w:r>
      <w:r w:rsidR="00EE45E1">
        <w:t>Equipment</w:t>
      </w:r>
      <w:r w:rsidRPr="00AB653C">
        <w:t xml:space="preserve"> for ITS Applications associated with the Traffic Management System</w:t>
      </w:r>
      <w:r>
        <w:t xml:space="preserve">s.  It also specifies </w:t>
      </w:r>
      <w:r w:rsidRPr="00383FC4">
        <w:t>installation</w:t>
      </w:r>
      <w:r>
        <w:t xml:space="preserve"> requirements for Contracts that include installation of the </w:t>
      </w:r>
      <w:r w:rsidR="00EE45E1">
        <w:t>Equipment</w:t>
      </w:r>
      <w:r>
        <w:t>.</w:t>
      </w:r>
      <w:r w:rsidRPr="00383FC4">
        <w:t xml:space="preserve">  </w:t>
      </w:r>
      <w:r w:rsidR="00E47AAC">
        <w:t xml:space="preserve">This Part </w:t>
      </w:r>
      <w:r w:rsidR="006B178E">
        <w:t>must</w:t>
      </w:r>
      <w:r w:rsidR="00E47AAC">
        <w:t xml:space="preserve"> be read in conjunction with Part </w:t>
      </w:r>
      <w:r w:rsidR="00A63740">
        <w:t>R</w:t>
      </w:r>
      <w:r w:rsidR="00E47AAC">
        <w:t xml:space="preserve">60 “General Requirements for the Supply of ITS Equipment” and if installation forms part of this Contract, Part </w:t>
      </w:r>
      <w:r w:rsidR="00A63740">
        <w:t>R</w:t>
      </w:r>
      <w:r w:rsidR="00E47AAC">
        <w:t>61 “Installation of ITS Equipment”.</w:t>
      </w:r>
    </w:p>
    <w:p w:rsidR="00B606D4" w:rsidRPr="00B606D4" w:rsidRDefault="00B606D4" w:rsidP="000D6CF4"/>
    <w:p w:rsidR="005D3F89" w:rsidRPr="00F6684E" w:rsidRDefault="005D3F89" w:rsidP="000D6CF4">
      <w:r w:rsidRPr="00F6684E">
        <w:t>Documents referenced in this Part are listed below:</w:t>
      </w:r>
    </w:p>
    <w:tbl>
      <w:tblPr>
        <w:tblW w:w="8929" w:type="dxa"/>
        <w:tblInd w:w="534" w:type="dxa"/>
        <w:tblLayout w:type="fixed"/>
        <w:tblLook w:val="0000" w:firstRow="0" w:lastRow="0" w:firstColumn="0" w:lastColumn="0" w:noHBand="0" w:noVBand="0"/>
      </w:tblPr>
      <w:tblGrid>
        <w:gridCol w:w="1984"/>
        <w:gridCol w:w="6945"/>
      </w:tblGrid>
      <w:tr w:rsidR="00B3099E" w:rsidRPr="00B606D4">
        <w:tblPrEx>
          <w:tblCellMar>
            <w:top w:w="0" w:type="dxa"/>
            <w:bottom w:w="0" w:type="dxa"/>
          </w:tblCellMar>
        </w:tblPrEx>
        <w:tc>
          <w:tcPr>
            <w:tcW w:w="1984" w:type="dxa"/>
          </w:tcPr>
          <w:p w:rsidR="00B3099E" w:rsidRPr="00900E91" w:rsidRDefault="00B3099E" w:rsidP="001F3121">
            <w:pPr>
              <w:spacing w:before="60" w:after="60"/>
              <w:jc w:val="left"/>
            </w:pPr>
            <w:r w:rsidRPr="00900E91">
              <w:t>AS 3000</w:t>
            </w:r>
          </w:p>
        </w:tc>
        <w:tc>
          <w:tcPr>
            <w:tcW w:w="6945" w:type="dxa"/>
          </w:tcPr>
          <w:p w:rsidR="00B3099E" w:rsidRPr="00900E91" w:rsidRDefault="00FC1A74" w:rsidP="001F3121">
            <w:pPr>
              <w:spacing w:before="60" w:after="60"/>
              <w:jc w:val="left"/>
            </w:pPr>
            <w:r w:rsidRPr="00900E91">
              <w:t>Electrical Installations</w:t>
            </w:r>
            <w:r w:rsidR="00AB653C">
              <w:t xml:space="preserve"> (also referred to as the “Wiring Rules”)</w:t>
            </w:r>
          </w:p>
        </w:tc>
      </w:tr>
      <w:tr w:rsidR="00B3099E" w:rsidRPr="00B606D4">
        <w:tblPrEx>
          <w:tblCellMar>
            <w:top w:w="0" w:type="dxa"/>
            <w:bottom w:w="0" w:type="dxa"/>
          </w:tblCellMar>
        </w:tblPrEx>
        <w:tc>
          <w:tcPr>
            <w:tcW w:w="1984" w:type="dxa"/>
          </w:tcPr>
          <w:p w:rsidR="00B3099E" w:rsidRPr="00AB653C" w:rsidRDefault="00B3099E" w:rsidP="001F3121">
            <w:pPr>
              <w:spacing w:before="60" w:after="60"/>
              <w:jc w:val="left"/>
            </w:pPr>
            <w:r w:rsidRPr="00AB653C">
              <w:t>AS 3</w:t>
            </w:r>
            <w:r w:rsidR="00AB653C" w:rsidRPr="00AB653C">
              <w:t>085.1</w:t>
            </w:r>
          </w:p>
        </w:tc>
        <w:tc>
          <w:tcPr>
            <w:tcW w:w="6945" w:type="dxa"/>
          </w:tcPr>
          <w:p w:rsidR="00B3099E" w:rsidRPr="00AB653C" w:rsidRDefault="00AB653C" w:rsidP="001F3121">
            <w:pPr>
              <w:spacing w:before="60" w:after="60"/>
              <w:jc w:val="left"/>
            </w:pPr>
            <w:r w:rsidRPr="00AB653C">
              <w:t>Telecommunications installations - Administration of communications cabling systems - Basic requirement</w:t>
            </w:r>
            <w:r w:rsidR="00605E87" w:rsidRPr="00AB653C">
              <w:rPr>
                <w:color w:val="000000"/>
              </w:rPr>
              <w:t xml:space="preserve"> </w:t>
            </w:r>
          </w:p>
        </w:tc>
      </w:tr>
      <w:tr w:rsidR="00371DDE" w:rsidRPr="00B606D4">
        <w:tblPrEx>
          <w:tblCellMar>
            <w:top w:w="0" w:type="dxa"/>
            <w:bottom w:w="0" w:type="dxa"/>
          </w:tblCellMar>
        </w:tblPrEx>
        <w:tc>
          <w:tcPr>
            <w:tcW w:w="1984" w:type="dxa"/>
          </w:tcPr>
          <w:p w:rsidR="00371DDE" w:rsidRPr="00900E91" w:rsidRDefault="00371DDE" w:rsidP="001F3121">
            <w:pPr>
              <w:spacing w:before="60" w:after="60"/>
              <w:jc w:val="left"/>
            </w:pPr>
            <w:r w:rsidRPr="00900E91">
              <w:t>AS 9001</w:t>
            </w:r>
          </w:p>
        </w:tc>
        <w:tc>
          <w:tcPr>
            <w:tcW w:w="6945" w:type="dxa"/>
          </w:tcPr>
          <w:p w:rsidR="00371DDE" w:rsidRPr="00900E91" w:rsidRDefault="00371DDE" w:rsidP="001F3121">
            <w:pPr>
              <w:spacing w:before="60" w:after="60"/>
              <w:jc w:val="left"/>
            </w:pPr>
            <w:r w:rsidRPr="00900E91">
              <w:t>Quality Management Systems – Requirements</w:t>
            </w:r>
          </w:p>
        </w:tc>
      </w:tr>
    </w:tbl>
    <w:p w:rsidR="002A1501" w:rsidRPr="00B606D4" w:rsidRDefault="002A1501" w:rsidP="001F3121">
      <w:pPr>
        <w:jc w:val="left"/>
        <w:rPr>
          <w:rFonts w:eastAsia="MS Mincho"/>
        </w:rPr>
      </w:pPr>
    </w:p>
    <w:p w:rsidR="00B3099E" w:rsidRPr="00B606D4" w:rsidRDefault="00AB653C" w:rsidP="001F3121">
      <w:pPr>
        <w:jc w:val="left"/>
        <w:rPr>
          <w:rFonts w:eastAsia="MS Mincho"/>
        </w:rPr>
      </w:pPr>
      <w:r>
        <w:rPr>
          <w:rFonts w:eastAsia="MS Mincho"/>
        </w:rPr>
        <w:t>E</w:t>
      </w:r>
      <w:r w:rsidR="00B3099E" w:rsidRPr="00B606D4">
        <w:rPr>
          <w:rFonts w:eastAsia="MS Mincho"/>
        </w:rPr>
        <w:t>quipment supplied under this Contract</w:t>
      </w:r>
      <w:r>
        <w:rPr>
          <w:rFonts w:eastAsia="MS Mincho"/>
        </w:rPr>
        <w:t xml:space="preserve"> </w:t>
      </w:r>
      <w:r w:rsidR="006B178E">
        <w:rPr>
          <w:rFonts w:eastAsia="MS Mincho"/>
        </w:rPr>
        <w:t>must</w:t>
      </w:r>
      <w:r>
        <w:rPr>
          <w:rFonts w:eastAsia="MS Mincho"/>
        </w:rPr>
        <w:t xml:space="preserve"> comply with applicable Australian Standards, or </w:t>
      </w:r>
      <w:r w:rsidRPr="00B606D4">
        <w:rPr>
          <w:rFonts w:eastAsia="MS Mincho"/>
        </w:rPr>
        <w:t xml:space="preserve">where no </w:t>
      </w:r>
      <w:r>
        <w:rPr>
          <w:rFonts w:eastAsia="MS Mincho"/>
        </w:rPr>
        <w:t xml:space="preserve">appropriate </w:t>
      </w:r>
      <w:r w:rsidRPr="00B606D4">
        <w:rPr>
          <w:rFonts w:eastAsia="MS Mincho"/>
        </w:rPr>
        <w:t>Australian Standard exists</w:t>
      </w:r>
      <w:r w:rsidR="00B3099E" w:rsidRPr="00B606D4">
        <w:rPr>
          <w:rFonts w:eastAsia="MS Mincho"/>
        </w:rPr>
        <w:t xml:space="preserve">, the </w:t>
      </w:r>
      <w:r w:rsidR="00EE45E1">
        <w:rPr>
          <w:rFonts w:eastAsia="MS Mincho"/>
        </w:rPr>
        <w:t>Equipment</w:t>
      </w:r>
      <w:r w:rsidR="00B3099E" w:rsidRPr="00B606D4">
        <w:rPr>
          <w:rFonts w:eastAsia="MS Mincho"/>
        </w:rPr>
        <w:t xml:space="preserve"> </w:t>
      </w:r>
      <w:r w:rsidR="006B178E">
        <w:rPr>
          <w:rFonts w:eastAsia="MS Mincho"/>
        </w:rPr>
        <w:t>must</w:t>
      </w:r>
      <w:r w:rsidR="00B3099E" w:rsidRPr="00B606D4">
        <w:rPr>
          <w:rFonts w:eastAsia="MS Mincho"/>
        </w:rPr>
        <w:t xml:space="preserve"> comply with the appropriate British Standard.</w:t>
      </w:r>
    </w:p>
    <w:p w:rsidR="00B3099E" w:rsidRPr="00B606D4" w:rsidRDefault="00B3099E" w:rsidP="001F3121">
      <w:pPr>
        <w:jc w:val="left"/>
        <w:rPr>
          <w:rFonts w:eastAsia="MS Mincho"/>
        </w:rPr>
      </w:pPr>
    </w:p>
    <w:p w:rsidR="00B3099E" w:rsidRDefault="00B3099E" w:rsidP="001F3121">
      <w:pPr>
        <w:jc w:val="left"/>
      </w:pPr>
      <w:r w:rsidRPr="00B606D4">
        <w:t xml:space="preserve">The telecommunications </w:t>
      </w:r>
      <w:r w:rsidR="00EE45E1">
        <w:t>Equipment</w:t>
      </w:r>
      <w:r w:rsidRPr="00B606D4">
        <w:t xml:space="preserve"> </w:t>
      </w:r>
      <w:r w:rsidR="006B178E">
        <w:t>must</w:t>
      </w:r>
      <w:r w:rsidRPr="00B606D4">
        <w:t xml:space="preserve"> comply with relevant Australian Communications Authority technical standards and requirements. Equipment requiring connection to telephone lines </w:t>
      </w:r>
      <w:r w:rsidR="006B178E">
        <w:t>must</w:t>
      </w:r>
      <w:r w:rsidRPr="00B606D4">
        <w:t xml:space="preserve"> be Austel approved and be labelled with the appropriate approval number.  All radio communications </w:t>
      </w:r>
      <w:r w:rsidR="006B178E">
        <w:t>must</w:t>
      </w:r>
      <w:r w:rsidRPr="00B606D4">
        <w:t xml:space="preserve"> comply with the requirements of the Australian Department of Communications. </w:t>
      </w:r>
    </w:p>
    <w:p w:rsidR="00CD7B67" w:rsidRPr="00D477D8" w:rsidRDefault="00CD7B67" w:rsidP="001F3121">
      <w:pPr>
        <w:jc w:val="left"/>
      </w:pPr>
    </w:p>
    <w:p w:rsidR="00CD7B67" w:rsidRPr="00D477D8" w:rsidRDefault="00CD7B67" w:rsidP="001F3121">
      <w:pPr>
        <w:jc w:val="left"/>
      </w:pPr>
      <w:r w:rsidRPr="00D477D8">
        <w:rPr>
          <w:b/>
        </w:rPr>
        <w:t>“Imaging Equipment</w:t>
      </w:r>
      <w:r w:rsidRPr="00D477D8">
        <w:t xml:space="preserve">” means </w:t>
      </w:r>
      <w:r w:rsidR="00D477D8">
        <w:t xml:space="preserve">the </w:t>
      </w:r>
      <w:r w:rsidRPr="00D477D8">
        <w:t xml:space="preserve">lens, camera, housing, Pan-Tilt unit, mounts, pole, field cabinet, transmitters, receivers, associated cabling and any other </w:t>
      </w:r>
      <w:r w:rsidR="00EE45E1">
        <w:t>Equipment</w:t>
      </w:r>
      <w:r w:rsidRPr="00D477D8">
        <w:t xml:space="preserve"> and works necessary to operate as intended</w:t>
      </w:r>
      <w:r w:rsidR="00D477D8">
        <w:t>;</w:t>
      </w:r>
    </w:p>
    <w:p w:rsidR="00CD7B67" w:rsidRPr="00D477D8" w:rsidRDefault="00CD7B67" w:rsidP="001F3121">
      <w:pPr>
        <w:jc w:val="left"/>
      </w:pPr>
    </w:p>
    <w:p w:rsidR="00AB653C" w:rsidRPr="00D477D8" w:rsidRDefault="00CD7B67" w:rsidP="001F3121">
      <w:pPr>
        <w:jc w:val="left"/>
      </w:pPr>
      <w:r w:rsidRPr="00D477D8">
        <w:rPr>
          <w:b/>
        </w:rPr>
        <w:t>“Electrical Legislation”</w:t>
      </w:r>
      <w:r w:rsidRPr="00D477D8">
        <w:t xml:space="preserve"> means the Electricity Act 1994 and associated Amendments and Regulations and Electrical Safety Act 2002 and associated Amendments, Regulations and Codes of Practice</w:t>
      </w:r>
      <w:r w:rsidR="00D477D8">
        <w:t>;</w:t>
      </w:r>
    </w:p>
    <w:p w:rsidR="00CD7B67" w:rsidRPr="00F33415" w:rsidRDefault="00CD7B67" w:rsidP="001F3121">
      <w:pPr>
        <w:jc w:val="left"/>
      </w:pPr>
    </w:p>
    <w:p w:rsidR="00CD7B67" w:rsidRPr="00F33415" w:rsidRDefault="00CD7B67" w:rsidP="001F3121">
      <w:pPr>
        <w:jc w:val="left"/>
      </w:pPr>
      <w:r w:rsidRPr="00F33415">
        <w:rPr>
          <w:b/>
        </w:rPr>
        <w:t>“Image Quality”</w:t>
      </w:r>
      <w:r w:rsidRPr="00F33415">
        <w:t xml:space="preserve"> means parameters of image information, such as resolution, colour, contrast and image refresh rate</w:t>
      </w:r>
      <w:r w:rsidR="00D477D8" w:rsidRPr="00F33415">
        <w:t>.</w:t>
      </w:r>
    </w:p>
    <w:p w:rsidR="00501642" w:rsidRDefault="00501642" w:rsidP="00501642"/>
    <w:p w:rsidR="00970560" w:rsidRPr="00201668" w:rsidRDefault="00970560" w:rsidP="00970560">
      <w:pPr>
        <w:jc w:val="left"/>
      </w:pPr>
      <w:r w:rsidRPr="004B30B7">
        <w:rPr>
          <w:b/>
        </w:rPr>
        <w:t>“TMC”</w:t>
      </w:r>
      <w:r>
        <w:t xml:space="preserve"> means the Principal’s Traffic Management Centre at </w:t>
      </w:r>
      <w:smartTag w:uri="urn:schemas-microsoft-com:office:smarttags" w:element="place">
        <w:smartTag w:uri="urn:schemas-microsoft-com:office:smarttags" w:element="City">
          <w:r>
            <w:t>Norwood</w:t>
          </w:r>
        </w:smartTag>
        <w:r>
          <w:t xml:space="preserve">, </w:t>
        </w:r>
        <w:smartTag w:uri="urn:schemas-microsoft-com:office:smarttags" w:element="State">
          <w:r>
            <w:t>South Australia</w:t>
          </w:r>
        </w:smartTag>
      </w:smartTag>
      <w:r>
        <w:t>.</w:t>
      </w:r>
    </w:p>
    <w:p w:rsidR="00970560" w:rsidRDefault="00970560" w:rsidP="00501642"/>
    <w:p w:rsidR="00501642" w:rsidRDefault="00501642" w:rsidP="00501642">
      <w:r>
        <w:t xml:space="preserve">Note: a reference in this Part to a clause in Part </w:t>
      </w:r>
      <w:r w:rsidR="00A63740">
        <w:t>R</w:t>
      </w:r>
      <w:r>
        <w:t>60 “Supply of ITS Equipment” is indicated by “</w:t>
      </w:r>
      <w:r w:rsidR="00A63740">
        <w:t>R</w:t>
      </w:r>
      <w:r>
        <w:t>60.” preceding the clause number.</w:t>
      </w:r>
    </w:p>
    <w:p w:rsidR="00B3099E" w:rsidRPr="00F33415" w:rsidRDefault="00B3099E" w:rsidP="000D6CF4">
      <w:pPr>
        <w:rPr>
          <w:rFonts w:eastAsia="MS Mincho"/>
        </w:rPr>
      </w:pPr>
    </w:p>
    <w:p w:rsidR="00F33415" w:rsidRPr="00F33415" w:rsidRDefault="00F33415" w:rsidP="000D6CF4">
      <w:pPr>
        <w:rPr>
          <w:b/>
        </w:rPr>
      </w:pPr>
      <w:bookmarkStart w:id="1" w:name="_Toc127610385"/>
      <w:r w:rsidRPr="00F33415">
        <w:rPr>
          <w:b/>
        </w:rPr>
        <w:t>2.</w:t>
      </w:r>
      <w:r w:rsidRPr="00F33415">
        <w:rPr>
          <w:b/>
        </w:rPr>
        <w:tab/>
      </w:r>
      <w:r w:rsidRPr="00F33415">
        <w:rPr>
          <w:b/>
          <w:u w:val="single"/>
        </w:rPr>
        <w:t>QUALITY REQUIREMENTS</w:t>
      </w:r>
      <w:bookmarkEnd w:id="1"/>
    </w:p>
    <w:p w:rsidR="00F33415" w:rsidRPr="00F33415" w:rsidRDefault="00F33415" w:rsidP="000D6CF4"/>
    <w:p w:rsidR="003F1B1A" w:rsidRPr="0083298D" w:rsidRDefault="003F1B1A" w:rsidP="000D6CF4">
      <w:r w:rsidRPr="0083298D">
        <w:t xml:space="preserve">The Contractor </w:t>
      </w:r>
      <w:r w:rsidR="006B178E">
        <w:t>must</w:t>
      </w:r>
      <w:r w:rsidRPr="0083298D">
        <w:t xml:space="preserve"> prepare and implement a Quality Plan that includes </w:t>
      </w:r>
      <w:r>
        <w:t xml:space="preserve">or annexes </w:t>
      </w:r>
      <w:r w:rsidRPr="0083298D">
        <w:t>the following documentation:</w:t>
      </w:r>
    </w:p>
    <w:p w:rsidR="003F1B1A" w:rsidRPr="00190487" w:rsidRDefault="003F1B1A" w:rsidP="00337C89">
      <w:pPr>
        <w:numPr>
          <w:ilvl w:val="0"/>
          <w:numId w:val="30"/>
        </w:numPr>
        <w:tabs>
          <w:tab w:val="clear" w:pos="1080"/>
        </w:tabs>
        <w:spacing w:before="120"/>
        <w:ind w:left="714" w:hanging="357"/>
        <w:jc w:val="left"/>
      </w:pPr>
      <w:r w:rsidRPr="00190487">
        <w:t xml:space="preserve">Acceptance Test Plans (refer Clause </w:t>
      </w:r>
      <w:r w:rsidR="00A63740">
        <w:t>R</w:t>
      </w:r>
      <w:r w:rsidRPr="00190487">
        <w:t xml:space="preserve">60.13 “Testing and Acceptance”), which provides full details of </w:t>
      </w:r>
      <w:r w:rsidR="001F3121">
        <w:t xml:space="preserve">all </w:t>
      </w:r>
      <w:r w:rsidRPr="00190487">
        <w:t>tests necessary;</w:t>
      </w:r>
    </w:p>
    <w:p w:rsidR="003F1B1A" w:rsidRPr="00190487" w:rsidRDefault="003F1B1A" w:rsidP="00337C89">
      <w:pPr>
        <w:numPr>
          <w:ilvl w:val="0"/>
          <w:numId w:val="30"/>
        </w:numPr>
        <w:tabs>
          <w:tab w:val="clear" w:pos="1080"/>
        </w:tabs>
        <w:spacing w:before="120"/>
        <w:ind w:left="714" w:hanging="357"/>
        <w:jc w:val="left"/>
      </w:pPr>
      <w:r w:rsidRPr="00190487">
        <w:t xml:space="preserve">Routine maintenance recommendations; </w:t>
      </w:r>
    </w:p>
    <w:p w:rsidR="003F1B1A" w:rsidRPr="00190487" w:rsidRDefault="003F1B1A" w:rsidP="00337C89">
      <w:pPr>
        <w:numPr>
          <w:ilvl w:val="0"/>
          <w:numId w:val="30"/>
        </w:numPr>
        <w:tabs>
          <w:tab w:val="clear" w:pos="1080"/>
        </w:tabs>
        <w:spacing w:before="120"/>
        <w:ind w:left="714" w:hanging="357"/>
        <w:jc w:val="left"/>
      </w:pPr>
      <w:r w:rsidRPr="00190487">
        <w:t xml:space="preserve">Training Plan (refer Clause </w:t>
      </w:r>
      <w:r w:rsidR="00A63740">
        <w:t>R</w:t>
      </w:r>
      <w:r w:rsidRPr="00190487">
        <w:t xml:space="preserve">60.15 “Training”); </w:t>
      </w:r>
    </w:p>
    <w:p w:rsidR="003F1B1A" w:rsidRDefault="003F1B1A" w:rsidP="00337C89">
      <w:pPr>
        <w:numPr>
          <w:ilvl w:val="0"/>
          <w:numId w:val="30"/>
        </w:numPr>
        <w:tabs>
          <w:tab w:val="clear" w:pos="1080"/>
        </w:tabs>
        <w:spacing w:before="120"/>
        <w:ind w:left="714" w:hanging="357"/>
        <w:jc w:val="left"/>
      </w:pPr>
      <w:r w:rsidRPr="00190487">
        <w:lastRenderedPageBreak/>
        <w:t>Spare part requirements</w:t>
      </w:r>
      <w:r w:rsidR="00572FC6">
        <w:t>;</w:t>
      </w:r>
    </w:p>
    <w:p w:rsidR="001F3121" w:rsidRPr="00D7503C" w:rsidRDefault="001F3121" w:rsidP="00337C89">
      <w:pPr>
        <w:numPr>
          <w:ilvl w:val="0"/>
          <w:numId w:val="30"/>
        </w:numPr>
        <w:tabs>
          <w:tab w:val="clear" w:pos="1080"/>
        </w:tabs>
        <w:spacing w:before="120"/>
        <w:ind w:left="714" w:hanging="357"/>
        <w:jc w:val="left"/>
      </w:pPr>
      <w:r w:rsidRPr="00D7503C">
        <w:t>manufacturer’s specifications (catalogue extracts) of all major components detailing ratings and performance characteristics; and</w:t>
      </w:r>
    </w:p>
    <w:p w:rsidR="001F3121" w:rsidRPr="00D7503C" w:rsidRDefault="001F3121" w:rsidP="00337C89">
      <w:pPr>
        <w:numPr>
          <w:ilvl w:val="0"/>
          <w:numId w:val="30"/>
        </w:numPr>
        <w:tabs>
          <w:tab w:val="clear" w:pos="1080"/>
        </w:tabs>
        <w:spacing w:before="120"/>
        <w:ind w:left="714" w:hanging="357"/>
        <w:jc w:val="left"/>
      </w:pPr>
      <w:r w:rsidRPr="00D7503C">
        <w:t>all layout, fabrication, interconnection and assembly drawings and diagrams necessary for this contract.</w:t>
      </w:r>
    </w:p>
    <w:p w:rsidR="001F3121" w:rsidRDefault="001F3121" w:rsidP="000D6CF4"/>
    <w:p w:rsidR="0003515F" w:rsidRDefault="0003515F" w:rsidP="000D6CF4">
      <w:r>
        <w:t xml:space="preserve">Where STREAMS compatibility has been specified, the Contractor </w:t>
      </w:r>
      <w:r w:rsidR="006B178E">
        <w:t>must</w:t>
      </w:r>
      <w:r>
        <w:t xml:space="preserve"> provide evidence of this compatibility in accordance with Clause </w:t>
      </w:r>
      <w:r w:rsidR="00A63740">
        <w:t>R</w:t>
      </w:r>
      <w:r>
        <w:t>60.6 “STREAMS”.</w:t>
      </w:r>
    </w:p>
    <w:p w:rsidR="001F3121" w:rsidRDefault="001F3121" w:rsidP="001F3121">
      <w:pPr>
        <w:jc w:val="left"/>
      </w:pPr>
    </w:p>
    <w:p w:rsidR="003F1B1A" w:rsidRDefault="003F1B1A" w:rsidP="001F3121">
      <w:pPr>
        <w:jc w:val="left"/>
      </w:pPr>
      <w:r w:rsidRPr="0083298D">
        <w:t xml:space="preserve">The Contractor </w:t>
      </w:r>
      <w:r w:rsidR="006B178E">
        <w:t>must</w:t>
      </w:r>
      <w:r w:rsidRPr="0083298D">
        <w:t xml:space="preserve"> provide samples for acceptance in accordance with Clause </w:t>
      </w:r>
      <w:r w:rsidR="00A63740">
        <w:t>R</w:t>
      </w:r>
      <w:r w:rsidRPr="0083298D">
        <w:t>60.3 “Equipment Requirements”.</w:t>
      </w:r>
      <w:r>
        <w:t xml:space="preserve"> </w:t>
      </w:r>
    </w:p>
    <w:p w:rsidR="003F1B1A" w:rsidRPr="0083298D" w:rsidRDefault="003F1B1A" w:rsidP="001F3121">
      <w:pPr>
        <w:jc w:val="left"/>
      </w:pPr>
    </w:p>
    <w:p w:rsidR="003F1B1A" w:rsidRPr="0083298D" w:rsidRDefault="003F1B1A" w:rsidP="001F3121">
      <w:pPr>
        <w:jc w:val="left"/>
      </w:pPr>
      <w:r w:rsidRPr="0083298D">
        <w:t xml:space="preserve">If not submitted beforehand, the </w:t>
      </w:r>
      <w:r>
        <w:t xml:space="preserve">samples and </w:t>
      </w:r>
      <w:r w:rsidRPr="0083298D">
        <w:t xml:space="preserve">documentation required by this Clause </w:t>
      </w:r>
      <w:r w:rsidR="006B178E">
        <w:t>must</w:t>
      </w:r>
      <w:r w:rsidRPr="0083298D">
        <w:t xml:space="preserve"> be submitted at least 28 days prior to the commencement of site work or placing an order for </w:t>
      </w:r>
      <w:r w:rsidR="00EE45E1">
        <w:t>Equipment</w:t>
      </w:r>
      <w:r w:rsidRPr="0083298D">
        <w:t>.</w:t>
      </w:r>
    </w:p>
    <w:p w:rsidR="003F1B1A" w:rsidRDefault="003F1B1A" w:rsidP="000D6CF4"/>
    <w:p w:rsidR="003F1B1A" w:rsidRPr="00CD7B67" w:rsidRDefault="003F1B1A" w:rsidP="000D6CF4">
      <w:r w:rsidRPr="00CD7B67">
        <w:t xml:space="preserve">Provision of the documentation </w:t>
      </w:r>
      <w:r>
        <w:t xml:space="preserve">and samples </w:t>
      </w:r>
      <w:r w:rsidRPr="00CD7B67">
        <w:t xml:space="preserve">listed in this Clause </w:t>
      </w:r>
      <w:r w:rsidR="006B178E">
        <w:t>shall constitute</w:t>
      </w:r>
      <w:r w:rsidRPr="00CD7B67">
        <w:t xml:space="preserve"> a </w:t>
      </w:r>
      <w:r w:rsidRPr="00CD7B67">
        <w:rPr>
          <w:b/>
        </w:rPr>
        <w:t>HOLD POINT</w:t>
      </w:r>
      <w:r w:rsidRPr="00CD7B67">
        <w:t>.</w:t>
      </w:r>
    </w:p>
    <w:p w:rsidR="003F1B1A" w:rsidRPr="00CD7B67" w:rsidRDefault="003F1B1A" w:rsidP="000D6CF4"/>
    <w:p w:rsidR="003F1B1A" w:rsidRPr="00383FC4" w:rsidRDefault="003F1B1A" w:rsidP="000D6CF4">
      <w:r w:rsidRPr="00CD7B67">
        <w:t xml:space="preserve">The </w:t>
      </w:r>
      <w:r w:rsidR="00EE45E1">
        <w:t>Equipment</w:t>
      </w:r>
      <w:r w:rsidRPr="00CD7B67">
        <w:t xml:space="preserve"> </w:t>
      </w:r>
      <w:r w:rsidR="006B178E">
        <w:t>must</w:t>
      </w:r>
      <w:r w:rsidRPr="00CD7B67">
        <w:t xml:space="preserve"> be manufactured under a quality system certified to AS 9001. </w:t>
      </w:r>
    </w:p>
    <w:p w:rsidR="003F1B1A" w:rsidRPr="00383FC4" w:rsidRDefault="003F1B1A" w:rsidP="000D6CF4"/>
    <w:p w:rsidR="002A1501" w:rsidRPr="00F33415" w:rsidRDefault="00F61D65" w:rsidP="001F3121">
      <w:pPr>
        <w:jc w:val="left"/>
      </w:pPr>
      <w:r w:rsidRPr="00F33415">
        <w:rPr>
          <w:rFonts w:eastAsia="MS Mincho"/>
          <w:b/>
          <w:bCs/>
        </w:rPr>
        <w:t>3</w:t>
      </w:r>
      <w:r w:rsidR="002A1501" w:rsidRPr="00F33415">
        <w:rPr>
          <w:rFonts w:eastAsia="MS Mincho"/>
          <w:b/>
          <w:bCs/>
        </w:rPr>
        <w:t>.</w:t>
      </w:r>
      <w:r w:rsidR="002A1501" w:rsidRPr="00F33415">
        <w:rPr>
          <w:rFonts w:eastAsia="MS Mincho"/>
          <w:b/>
          <w:bCs/>
        </w:rPr>
        <w:tab/>
      </w:r>
      <w:bookmarkStart w:id="2" w:name="_Toc447782746"/>
      <w:bookmarkStart w:id="3" w:name="_Toc448041137"/>
      <w:bookmarkStart w:id="4" w:name="_Toc448041847"/>
      <w:bookmarkStart w:id="5" w:name="_Toc448042559"/>
      <w:bookmarkStart w:id="6" w:name="_Toc448043931"/>
      <w:bookmarkStart w:id="7" w:name="_Toc448044469"/>
      <w:bookmarkStart w:id="8" w:name="_Toc448048266"/>
      <w:bookmarkStart w:id="9" w:name="_Toc448048416"/>
      <w:bookmarkStart w:id="10" w:name="_Toc448379382"/>
      <w:bookmarkStart w:id="11" w:name="_Toc453557355"/>
      <w:bookmarkStart w:id="12" w:name="_Toc453559553"/>
      <w:bookmarkStart w:id="13" w:name="_Toc453567379"/>
      <w:bookmarkStart w:id="14" w:name="_Toc453641626"/>
      <w:bookmarkStart w:id="15" w:name="_Toc454697978"/>
      <w:bookmarkStart w:id="16" w:name="_Toc454767815"/>
      <w:bookmarkStart w:id="17" w:name="_Toc454775386"/>
      <w:bookmarkStart w:id="18" w:name="_Toc184015710"/>
      <w:bookmarkStart w:id="19" w:name="_Toc184103419"/>
      <w:r w:rsidR="00B3099E" w:rsidRPr="00F33415">
        <w:rPr>
          <w:b/>
          <w:u w:val="single"/>
        </w:rPr>
        <w:t>EQUIPMENT REQUIREMENTS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2A1501" w:rsidRPr="00B606D4" w:rsidRDefault="002A1501" w:rsidP="001F3121">
      <w:pPr>
        <w:jc w:val="left"/>
        <w:rPr>
          <w:rFonts w:eastAsia="MS Mincho"/>
        </w:rPr>
      </w:pPr>
    </w:p>
    <w:p w:rsidR="0051440B" w:rsidRPr="00CB2B03" w:rsidRDefault="00F61D65" w:rsidP="001F3121">
      <w:pPr>
        <w:jc w:val="left"/>
        <w:rPr>
          <w:b/>
          <w:u w:val="single"/>
        </w:rPr>
      </w:pPr>
      <w:r w:rsidRPr="00CB2B03">
        <w:rPr>
          <w:rFonts w:eastAsia="MS Mincho"/>
          <w:b/>
          <w:bCs/>
        </w:rPr>
        <w:t>3</w:t>
      </w:r>
      <w:r w:rsidR="002A1501" w:rsidRPr="00CB2B03">
        <w:rPr>
          <w:rFonts w:eastAsia="MS Mincho"/>
          <w:b/>
          <w:bCs/>
        </w:rPr>
        <w:t>.1</w:t>
      </w:r>
      <w:r w:rsidR="002A1501" w:rsidRPr="00CB2B03">
        <w:rPr>
          <w:rFonts w:eastAsia="MS Mincho"/>
          <w:b/>
          <w:bCs/>
        </w:rPr>
        <w:tab/>
      </w:r>
      <w:bookmarkStart w:id="20" w:name="_Toc393441962"/>
      <w:bookmarkStart w:id="21" w:name="_Toc393443278"/>
      <w:bookmarkStart w:id="22" w:name="_Toc393779401"/>
      <w:bookmarkStart w:id="23" w:name="_Toc447011163"/>
      <w:bookmarkStart w:id="24" w:name="_Toc447770763"/>
      <w:bookmarkStart w:id="25" w:name="_Toc447782747"/>
      <w:bookmarkStart w:id="26" w:name="_Toc448041138"/>
      <w:bookmarkStart w:id="27" w:name="_Toc448041848"/>
      <w:bookmarkStart w:id="28" w:name="_Toc448042560"/>
      <w:bookmarkStart w:id="29" w:name="_Toc448043932"/>
      <w:bookmarkStart w:id="30" w:name="_Toc448044470"/>
      <w:bookmarkStart w:id="31" w:name="_Toc448048267"/>
      <w:bookmarkStart w:id="32" w:name="_Toc448048417"/>
      <w:bookmarkStart w:id="33" w:name="_Toc448379383"/>
      <w:bookmarkStart w:id="34" w:name="_Toc453557356"/>
      <w:bookmarkStart w:id="35" w:name="_Toc453559554"/>
      <w:bookmarkStart w:id="36" w:name="_Toc453567380"/>
      <w:bookmarkStart w:id="37" w:name="_Toc453641627"/>
      <w:bookmarkStart w:id="38" w:name="_Toc454697979"/>
      <w:bookmarkStart w:id="39" w:name="_Toc454767816"/>
      <w:bookmarkStart w:id="40" w:name="_Toc454775387"/>
      <w:bookmarkStart w:id="41" w:name="_Toc184015711"/>
      <w:bookmarkStart w:id="42" w:name="_Toc184103420"/>
      <w:bookmarkStart w:id="43" w:name="_Toc505589873"/>
      <w:bookmarkStart w:id="44" w:name="_Toc505663047"/>
      <w:bookmarkStart w:id="45" w:name="_Toc97716674"/>
      <w:bookmarkStart w:id="46" w:name="_Toc133310762"/>
      <w:bookmarkStart w:id="47" w:name="_Toc184030214"/>
      <w:r w:rsidR="0051440B" w:rsidRPr="00CB2B03">
        <w:rPr>
          <w:b/>
          <w:u w:val="single"/>
        </w:rPr>
        <w:t>Colour Camera</w:t>
      </w:r>
      <w:bookmarkEnd w:id="43"/>
      <w:bookmarkEnd w:id="44"/>
      <w:bookmarkEnd w:id="45"/>
      <w:bookmarkEnd w:id="46"/>
      <w:bookmarkEnd w:id="47"/>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rsidR="00B3099E" w:rsidRPr="00CB2B03" w:rsidRDefault="00B3099E" w:rsidP="001F3121">
      <w:pPr>
        <w:jc w:val="left"/>
      </w:pPr>
    </w:p>
    <w:p w:rsidR="0051440B" w:rsidRPr="00CB2B03" w:rsidRDefault="0051440B" w:rsidP="001F3121">
      <w:pPr>
        <w:jc w:val="left"/>
      </w:pPr>
      <w:r w:rsidRPr="00CB2B03">
        <w:t xml:space="preserve">Cameras </w:t>
      </w:r>
      <w:r w:rsidR="006B178E">
        <w:t>must</w:t>
      </w:r>
      <w:r w:rsidRPr="00CB2B03">
        <w:t xml:space="preserve"> be colour and </w:t>
      </w:r>
      <w:r w:rsidR="006B178E">
        <w:t>must</w:t>
      </w:r>
      <w:r w:rsidRPr="00CB2B03">
        <w:t xml:space="preserve"> conform to the CCIR standard of 625 lines interlaced, 50 frames per second with a composite PAL video signal output of 1 Volt peak to peak, negative sync.</w:t>
      </w:r>
      <w:r w:rsidR="00CB2B03" w:rsidRPr="00CB2B03">
        <w:t xml:space="preserve">  </w:t>
      </w:r>
      <w:r w:rsidRPr="00CB2B03">
        <w:t xml:space="preserve">The semiconductor imagery </w:t>
      </w:r>
      <w:r w:rsidR="006B178E">
        <w:t>must</w:t>
      </w:r>
      <w:r w:rsidRPr="00CB2B03">
        <w:t xml:space="preserve"> be of the CCD type with the imagery chip having a minimum active area </w:t>
      </w:r>
      <w:r w:rsidR="00154B1E">
        <w:t>of 6.1 mm (1/3 inch) diagonal.</w:t>
      </w:r>
    </w:p>
    <w:p w:rsidR="00CB2B03" w:rsidRPr="00CB2B03" w:rsidRDefault="00CB2B03" w:rsidP="001F3121">
      <w:pPr>
        <w:jc w:val="left"/>
      </w:pPr>
    </w:p>
    <w:p w:rsidR="0051440B" w:rsidRPr="00CB2B03" w:rsidRDefault="0051440B" w:rsidP="001F3121">
      <w:pPr>
        <w:jc w:val="left"/>
      </w:pPr>
      <w:r w:rsidRPr="00CB2B03">
        <w:t xml:space="preserve">The lens mount </w:t>
      </w:r>
      <w:r w:rsidR="006B178E">
        <w:t>must</w:t>
      </w:r>
      <w:r w:rsidRPr="00CB2B03">
        <w:t xml:space="preserve"> be a standard C mount and include a CS lens adaptor.</w:t>
      </w:r>
      <w:r w:rsidR="00CB2B03" w:rsidRPr="00CB2B03">
        <w:t xml:space="preserve">  </w:t>
      </w:r>
      <w:r w:rsidRPr="00CB2B03">
        <w:t xml:space="preserve">Sensitivity </w:t>
      </w:r>
      <w:r w:rsidR="006B178E">
        <w:t>must</w:t>
      </w:r>
      <w:r w:rsidRPr="00CB2B03">
        <w:t xml:space="preserve"> be better than 2 lux scene illumination at F1.2 for a useable picture that is un-enhanced by averaging techniques and 6 lux for a picture signal of -6db.</w:t>
      </w:r>
      <w:r w:rsidR="00CB2B03" w:rsidRPr="00CB2B03">
        <w:t xml:space="preserve"> </w:t>
      </w:r>
      <w:r w:rsidRPr="00CB2B03">
        <w:t xml:space="preserve">The camera </w:t>
      </w:r>
      <w:r w:rsidR="006B178E">
        <w:t>must</w:t>
      </w:r>
      <w:r w:rsidRPr="00CB2B03">
        <w:t xml:space="preserve"> operate with a supply voltage of 24 Volts AC </w:t>
      </w:r>
      <w:r w:rsidRPr="00CB2B03">
        <w:sym w:font="Symbol" w:char="F0B1"/>
      </w:r>
      <w:r w:rsidRPr="00CB2B03">
        <w:t xml:space="preserve"> 10%.</w:t>
      </w:r>
    </w:p>
    <w:p w:rsidR="0051440B" w:rsidRPr="00CB2B03" w:rsidRDefault="0051440B" w:rsidP="001F3121">
      <w:pPr>
        <w:jc w:val="left"/>
      </w:pPr>
    </w:p>
    <w:p w:rsidR="0051440B" w:rsidRPr="00CB2B03" w:rsidRDefault="00F61D65" w:rsidP="001F3121">
      <w:pPr>
        <w:jc w:val="left"/>
        <w:rPr>
          <w:b/>
          <w:u w:val="single"/>
        </w:rPr>
      </w:pPr>
      <w:bookmarkStart w:id="48" w:name="_Toc184015712"/>
      <w:bookmarkStart w:id="49" w:name="_Toc184103421"/>
      <w:r w:rsidRPr="00CB2B03">
        <w:rPr>
          <w:b/>
        </w:rPr>
        <w:t>3</w:t>
      </w:r>
      <w:r w:rsidR="00A26BB0" w:rsidRPr="00CB2B03">
        <w:rPr>
          <w:b/>
        </w:rPr>
        <w:t>.2</w:t>
      </w:r>
      <w:r w:rsidR="00A26BB0" w:rsidRPr="00CB2B03">
        <w:rPr>
          <w:b/>
        </w:rPr>
        <w:tab/>
      </w:r>
      <w:bookmarkStart w:id="50" w:name="_Toc505574051"/>
      <w:bookmarkStart w:id="51" w:name="_Toc505589874"/>
      <w:bookmarkStart w:id="52" w:name="_Toc505663048"/>
      <w:bookmarkStart w:id="53" w:name="_Toc97716675"/>
      <w:bookmarkStart w:id="54" w:name="_Toc133310763"/>
      <w:bookmarkStart w:id="55" w:name="_Toc184030215"/>
      <w:bookmarkEnd w:id="48"/>
      <w:bookmarkEnd w:id="49"/>
      <w:r w:rsidR="0051440B" w:rsidRPr="00CB2B03">
        <w:rPr>
          <w:b/>
          <w:u w:val="single"/>
        </w:rPr>
        <w:t>Lens</w:t>
      </w:r>
      <w:bookmarkEnd w:id="50"/>
      <w:bookmarkEnd w:id="51"/>
      <w:bookmarkEnd w:id="52"/>
      <w:bookmarkEnd w:id="53"/>
      <w:bookmarkEnd w:id="54"/>
      <w:bookmarkEnd w:id="55"/>
    </w:p>
    <w:p w:rsidR="00B3099E" w:rsidRPr="00160E5E" w:rsidRDefault="00B3099E" w:rsidP="001F3121">
      <w:pPr>
        <w:jc w:val="left"/>
      </w:pPr>
    </w:p>
    <w:p w:rsidR="00CB2B03" w:rsidRPr="00CB2B03" w:rsidRDefault="0051440B" w:rsidP="001F3121">
      <w:pPr>
        <w:jc w:val="left"/>
      </w:pPr>
      <w:r w:rsidRPr="00CB2B03">
        <w:t xml:space="preserve">Lenses </w:t>
      </w:r>
      <w:r w:rsidR="006B178E">
        <w:t>must</w:t>
      </w:r>
      <w:r w:rsidRPr="00CB2B03">
        <w:t xml:space="preserve"> be a motorised zoom type with a minimum zoom ratio of 10:1 with auto iris and position feedback. Focus tracking </w:t>
      </w:r>
      <w:r w:rsidR="006B178E">
        <w:t>must</w:t>
      </w:r>
      <w:r w:rsidRPr="00CB2B03">
        <w:t xml:space="preserve"> be such that the lens will not require focus adjustment for an object at infinity (&gt;10m) over the entire 10:1 zoom range. </w:t>
      </w:r>
      <w:r w:rsidR="00CB2B03" w:rsidRPr="00CB2B03">
        <w:t xml:space="preserve"> </w:t>
      </w:r>
      <w:r w:rsidRPr="00CB2B03">
        <w:t xml:space="preserve">The lens mount </w:t>
      </w:r>
      <w:r w:rsidR="006B178E">
        <w:t>must</w:t>
      </w:r>
      <w:r w:rsidRPr="00CB2B03">
        <w:t xml:space="preserve"> be suitable for attachment to the video cameras described above.</w:t>
      </w:r>
    </w:p>
    <w:p w:rsidR="00CB2B03" w:rsidRPr="00CB2B03" w:rsidRDefault="00CB2B03" w:rsidP="001F3121">
      <w:pPr>
        <w:jc w:val="left"/>
      </w:pPr>
    </w:p>
    <w:p w:rsidR="0051440B" w:rsidRPr="00CB2B03" w:rsidRDefault="0051440B" w:rsidP="001F3121">
      <w:pPr>
        <w:jc w:val="left"/>
      </w:pPr>
      <w:r w:rsidRPr="00CB2B03">
        <w:t xml:space="preserve">Maximum aperture </w:t>
      </w:r>
      <w:r w:rsidR="006B178E">
        <w:t>must</w:t>
      </w:r>
      <w:r w:rsidRPr="00CB2B03">
        <w:t xml:space="preserve"> be at least F1.2 with a focus range of 1.2 metres to infinity.</w:t>
      </w:r>
      <w:r w:rsidR="00CB2B03" w:rsidRPr="00CB2B03">
        <w:t xml:space="preserve"> </w:t>
      </w:r>
      <w:r w:rsidRPr="00CB2B03">
        <w:t xml:space="preserve">The motorised zoom and auto-iris </w:t>
      </w:r>
      <w:r w:rsidR="006B178E">
        <w:t>must</w:t>
      </w:r>
      <w:r w:rsidRPr="00CB2B03">
        <w:t xml:space="preserve"> operate from 12 Volts DC </w:t>
      </w:r>
      <w:r w:rsidRPr="00CB2B03">
        <w:sym w:font="Symbol" w:char="F0B1"/>
      </w:r>
      <w:r w:rsidRPr="00CB2B03">
        <w:t xml:space="preserve"> 10%.</w:t>
      </w:r>
    </w:p>
    <w:p w:rsidR="00B3099E" w:rsidRPr="00160E5E" w:rsidRDefault="00B3099E" w:rsidP="001F3121">
      <w:pPr>
        <w:jc w:val="left"/>
      </w:pPr>
    </w:p>
    <w:p w:rsidR="0051440B" w:rsidRPr="00CB2B03" w:rsidRDefault="00F61D65" w:rsidP="001F3121">
      <w:pPr>
        <w:jc w:val="left"/>
        <w:rPr>
          <w:b/>
          <w:u w:val="single"/>
        </w:rPr>
      </w:pPr>
      <w:bookmarkStart w:id="56" w:name="_Toc184015713"/>
      <w:bookmarkStart w:id="57" w:name="_Toc184103422"/>
      <w:r w:rsidRPr="00CB2B03">
        <w:rPr>
          <w:b/>
        </w:rPr>
        <w:t>3</w:t>
      </w:r>
      <w:r w:rsidR="00A26BB0" w:rsidRPr="00CB2B03">
        <w:rPr>
          <w:b/>
        </w:rPr>
        <w:t>.3</w:t>
      </w:r>
      <w:r w:rsidR="00A26BB0" w:rsidRPr="00CB2B03">
        <w:rPr>
          <w:b/>
        </w:rPr>
        <w:tab/>
      </w:r>
      <w:bookmarkStart w:id="58" w:name="_Toc505574052"/>
      <w:bookmarkStart w:id="59" w:name="_Toc505589875"/>
      <w:bookmarkStart w:id="60" w:name="_Toc505663049"/>
      <w:bookmarkStart w:id="61" w:name="_Toc97716676"/>
      <w:bookmarkStart w:id="62" w:name="_Toc133310764"/>
      <w:bookmarkStart w:id="63" w:name="_Toc184030216"/>
      <w:bookmarkEnd w:id="56"/>
      <w:bookmarkEnd w:id="57"/>
      <w:r w:rsidR="0051440B" w:rsidRPr="00CB2B03">
        <w:rPr>
          <w:b/>
          <w:u w:val="single"/>
        </w:rPr>
        <w:t>Camera Housing</w:t>
      </w:r>
      <w:bookmarkEnd w:id="58"/>
      <w:bookmarkEnd w:id="59"/>
      <w:bookmarkEnd w:id="60"/>
      <w:bookmarkEnd w:id="61"/>
      <w:bookmarkEnd w:id="62"/>
      <w:bookmarkEnd w:id="63"/>
    </w:p>
    <w:p w:rsidR="00B3099E" w:rsidRPr="00160E5E" w:rsidRDefault="00B3099E" w:rsidP="001F3121">
      <w:pPr>
        <w:jc w:val="left"/>
      </w:pPr>
    </w:p>
    <w:p w:rsidR="0051440B" w:rsidRPr="00CB2B03" w:rsidRDefault="0051440B" w:rsidP="001F3121">
      <w:pPr>
        <w:jc w:val="left"/>
      </w:pPr>
      <w:r w:rsidRPr="00CB2B03">
        <w:t xml:space="preserve">Each camera </w:t>
      </w:r>
      <w:r w:rsidR="006B178E">
        <w:t>must</w:t>
      </w:r>
      <w:r w:rsidRPr="00CB2B03">
        <w:t xml:space="preserve"> be enclosed in a weatherproof housing to provide protection from driving rain, moisture and dust. The housing, including a sunscreen, </w:t>
      </w:r>
      <w:r w:rsidR="006B178E">
        <w:t>must</w:t>
      </w:r>
      <w:r w:rsidRPr="00CB2B03">
        <w:t xml:space="preserve"> be corrosion resistant in construction, with baked enamel or equivalent finish.  Coatings and fittings </w:t>
      </w:r>
      <w:r w:rsidR="006B178E">
        <w:t>must</w:t>
      </w:r>
      <w:r w:rsidRPr="00CB2B03">
        <w:t xml:space="preserve"> tolerate exposure to salt atmosphere and motor vehicle fumes.</w:t>
      </w:r>
    </w:p>
    <w:p w:rsidR="00455539" w:rsidRPr="00160E5E" w:rsidRDefault="00455539" w:rsidP="001F3121">
      <w:pPr>
        <w:jc w:val="left"/>
      </w:pPr>
    </w:p>
    <w:p w:rsidR="0051440B" w:rsidRPr="00CB2B03" w:rsidRDefault="00F61D65" w:rsidP="001F3121">
      <w:pPr>
        <w:jc w:val="left"/>
        <w:rPr>
          <w:b/>
          <w:u w:val="single"/>
        </w:rPr>
      </w:pPr>
      <w:bookmarkStart w:id="64" w:name="_Toc184015725"/>
      <w:bookmarkStart w:id="65" w:name="_Toc184103434"/>
      <w:r w:rsidRPr="00CB2B03">
        <w:rPr>
          <w:b/>
        </w:rPr>
        <w:t>3</w:t>
      </w:r>
      <w:r w:rsidR="00A26BB0" w:rsidRPr="00CB2B03">
        <w:rPr>
          <w:b/>
        </w:rPr>
        <w:t>.4</w:t>
      </w:r>
      <w:r w:rsidR="00A26BB0" w:rsidRPr="00CB2B03">
        <w:rPr>
          <w:b/>
        </w:rPr>
        <w:tab/>
      </w:r>
      <w:bookmarkStart w:id="66" w:name="_Toc505574053"/>
      <w:bookmarkStart w:id="67" w:name="_Toc505589876"/>
      <w:bookmarkStart w:id="68" w:name="_Toc505663050"/>
      <w:bookmarkStart w:id="69" w:name="_Toc97716677"/>
      <w:bookmarkStart w:id="70" w:name="_Toc133310765"/>
      <w:bookmarkStart w:id="71" w:name="_Toc184030217"/>
      <w:bookmarkEnd w:id="64"/>
      <w:bookmarkEnd w:id="65"/>
      <w:r w:rsidR="0051440B" w:rsidRPr="00CB2B03">
        <w:rPr>
          <w:b/>
          <w:u w:val="single"/>
        </w:rPr>
        <w:t>Pan-Tilt Unit</w:t>
      </w:r>
      <w:bookmarkEnd w:id="66"/>
      <w:bookmarkEnd w:id="67"/>
      <w:bookmarkEnd w:id="68"/>
      <w:bookmarkEnd w:id="69"/>
      <w:bookmarkEnd w:id="70"/>
      <w:bookmarkEnd w:id="71"/>
    </w:p>
    <w:p w:rsidR="00B3099E" w:rsidRPr="00160E5E" w:rsidRDefault="00B3099E" w:rsidP="001F3121">
      <w:pPr>
        <w:jc w:val="left"/>
      </w:pPr>
    </w:p>
    <w:p w:rsidR="0051440B" w:rsidRPr="00CB2B03" w:rsidRDefault="0051440B" w:rsidP="001F3121">
      <w:pPr>
        <w:jc w:val="left"/>
      </w:pPr>
      <w:r w:rsidRPr="00CB2B03">
        <w:t xml:space="preserve">The camera housing </w:t>
      </w:r>
      <w:r w:rsidR="006B178E">
        <w:t>must</w:t>
      </w:r>
      <w:r w:rsidRPr="00CB2B03">
        <w:t xml:space="preserve"> be mounted on a pan tilt unit.  This unit </w:t>
      </w:r>
      <w:r w:rsidR="006B178E">
        <w:t>must</w:t>
      </w:r>
      <w:r w:rsidRPr="00CB2B03">
        <w:t xml:space="preserve"> be capable of continuously panning the camera assembly a minimum of 350 degrees in the horizontal plane.  It </w:t>
      </w:r>
      <w:r w:rsidR="006B178E">
        <w:t>must</w:t>
      </w:r>
      <w:r w:rsidRPr="00CB2B03">
        <w:t xml:space="preserve"> also be capable of continuously tilting in the vertical plane between +20 degrees and -90 degrees to horizontal. </w:t>
      </w:r>
    </w:p>
    <w:p w:rsidR="00E4116E" w:rsidRPr="00CB2B03" w:rsidRDefault="00E4116E" w:rsidP="001F3121">
      <w:pPr>
        <w:jc w:val="left"/>
      </w:pPr>
    </w:p>
    <w:p w:rsidR="0051440B" w:rsidRPr="00CB2B03" w:rsidRDefault="00F61D65" w:rsidP="001F3121">
      <w:pPr>
        <w:jc w:val="left"/>
        <w:rPr>
          <w:b/>
          <w:u w:val="single"/>
        </w:rPr>
      </w:pPr>
      <w:bookmarkStart w:id="72" w:name="_Toc184015729"/>
      <w:bookmarkStart w:id="73" w:name="_Toc184103438"/>
      <w:r w:rsidRPr="00CB2B03">
        <w:rPr>
          <w:b/>
        </w:rPr>
        <w:t>3</w:t>
      </w:r>
      <w:r w:rsidR="00A26BB0" w:rsidRPr="00CB2B03">
        <w:rPr>
          <w:b/>
        </w:rPr>
        <w:t>.5</w:t>
      </w:r>
      <w:r w:rsidR="00A26BB0" w:rsidRPr="00CB2B03">
        <w:rPr>
          <w:b/>
        </w:rPr>
        <w:tab/>
      </w:r>
      <w:bookmarkEnd w:id="72"/>
      <w:bookmarkEnd w:id="73"/>
      <w:r w:rsidR="0051440B" w:rsidRPr="00CB2B03">
        <w:rPr>
          <w:b/>
          <w:u w:val="single"/>
        </w:rPr>
        <w:t>Camera Pole</w:t>
      </w:r>
    </w:p>
    <w:p w:rsidR="00B3099E" w:rsidRPr="00160E5E" w:rsidRDefault="00B3099E" w:rsidP="001F3121">
      <w:pPr>
        <w:jc w:val="left"/>
      </w:pPr>
    </w:p>
    <w:p w:rsidR="0051440B" w:rsidRPr="00CB2B03" w:rsidRDefault="0051440B" w:rsidP="001F3121">
      <w:pPr>
        <w:jc w:val="left"/>
      </w:pPr>
      <w:r w:rsidRPr="00F33415">
        <w:t xml:space="preserve">The camera pole </w:t>
      </w:r>
      <w:r w:rsidR="006B178E">
        <w:t>must</w:t>
      </w:r>
      <w:r w:rsidRPr="00F33415">
        <w:t xml:space="preserve"> be a hinged type standard column of appropriate height and stability to provide clear and stable pictures from the sites. The pole </w:t>
      </w:r>
      <w:r w:rsidR="006B178E">
        <w:t>must</w:t>
      </w:r>
      <w:r w:rsidRPr="00F33415">
        <w:t xml:space="preserve"> be of </w:t>
      </w:r>
      <w:r w:rsidR="00CB2B03" w:rsidRPr="00F33415">
        <w:t xml:space="preserve">galvanised </w:t>
      </w:r>
      <w:r w:rsidRPr="00F33415">
        <w:t>welded steel construction, tapered with a round or</w:t>
      </w:r>
      <w:r w:rsidRPr="00CB2B03">
        <w:t xml:space="preserve"> polygonal section of smooth appearance. The pole </w:t>
      </w:r>
      <w:r w:rsidR="006B178E">
        <w:t>must</w:t>
      </w:r>
      <w:r w:rsidRPr="00CB2B03">
        <w:t xml:space="preserve"> be base plate mounted and be suitable for mounting on a rag bolt assembly in a concrete footing or equivalent.</w:t>
      </w:r>
      <w:r w:rsidR="00F33415">
        <w:t xml:space="preserve">  If the pole is of a height that a standard column is not available, the pole </w:t>
      </w:r>
      <w:r w:rsidR="006B178E">
        <w:t>must</w:t>
      </w:r>
      <w:r w:rsidR="00F33415">
        <w:t xml:space="preserve"> be designed in accordance with Clause </w:t>
      </w:r>
      <w:r w:rsidR="00A63740">
        <w:t>R</w:t>
      </w:r>
      <w:r w:rsidR="00F33415">
        <w:t>61.7 “Design of Support Structures”.</w:t>
      </w:r>
    </w:p>
    <w:p w:rsidR="00B3099E" w:rsidRPr="00CB2B03" w:rsidRDefault="00970560" w:rsidP="001F3121">
      <w:pPr>
        <w:jc w:val="left"/>
      </w:pPr>
      <w:r>
        <w:br w:type="page"/>
      </w:r>
    </w:p>
    <w:p w:rsidR="0051440B" w:rsidRPr="00CB2B03" w:rsidRDefault="00F61D65" w:rsidP="001F3121">
      <w:pPr>
        <w:jc w:val="left"/>
        <w:rPr>
          <w:b/>
          <w:u w:val="single"/>
        </w:rPr>
      </w:pPr>
      <w:bookmarkStart w:id="74" w:name="_Toc184015730"/>
      <w:bookmarkStart w:id="75" w:name="_Toc184103439"/>
      <w:r w:rsidRPr="00CB2B03">
        <w:rPr>
          <w:b/>
        </w:rPr>
        <w:t>3</w:t>
      </w:r>
      <w:r w:rsidR="00A26BB0" w:rsidRPr="00CB2B03">
        <w:rPr>
          <w:b/>
        </w:rPr>
        <w:t>.6</w:t>
      </w:r>
      <w:r w:rsidR="00A26BB0" w:rsidRPr="00CB2B03">
        <w:rPr>
          <w:b/>
        </w:rPr>
        <w:tab/>
      </w:r>
      <w:bookmarkEnd w:id="74"/>
      <w:bookmarkEnd w:id="75"/>
      <w:r w:rsidR="0051440B" w:rsidRPr="00CB2B03">
        <w:rPr>
          <w:b/>
          <w:u w:val="single"/>
        </w:rPr>
        <w:t>Field Cabinets</w:t>
      </w:r>
    </w:p>
    <w:p w:rsidR="00B3099E" w:rsidRPr="00160E5E" w:rsidRDefault="00B3099E" w:rsidP="001F3121">
      <w:pPr>
        <w:jc w:val="left"/>
      </w:pPr>
    </w:p>
    <w:p w:rsidR="0051440B" w:rsidRPr="00CB2B03" w:rsidRDefault="0051440B" w:rsidP="001F3121">
      <w:pPr>
        <w:jc w:val="left"/>
      </w:pPr>
      <w:r w:rsidRPr="00CB2B03">
        <w:t xml:space="preserve">Weatherproof field cabinets </w:t>
      </w:r>
      <w:r w:rsidR="006B178E">
        <w:t>must</w:t>
      </w:r>
      <w:r w:rsidRPr="00CB2B03">
        <w:t xml:space="preserve"> be supplied for each camera site to house the camera control, video transmission </w:t>
      </w:r>
      <w:r w:rsidR="00EE45E1">
        <w:t>Equipment</w:t>
      </w:r>
      <w:r w:rsidRPr="00CB2B03">
        <w:t xml:space="preserve"> and power supply.</w:t>
      </w:r>
      <w:r w:rsidR="00CB2B03" w:rsidRPr="00CB2B03">
        <w:t xml:space="preserve">  </w:t>
      </w:r>
      <w:r w:rsidRPr="00CB2B03">
        <w:t>The fi</w:t>
      </w:r>
      <w:r w:rsidR="00CB2B03" w:rsidRPr="00CB2B03">
        <w:t xml:space="preserve">eld cabinets </w:t>
      </w:r>
      <w:r w:rsidR="006B178E">
        <w:t>must</w:t>
      </w:r>
      <w:r w:rsidR="00CB2B03" w:rsidRPr="00CB2B03">
        <w:t xml:space="preserve"> comply with Part </w:t>
      </w:r>
      <w:r w:rsidR="00A63740">
        <w:t>R</w:t>
      </w:r>
      <w:r w:rsidR="00CB2B03" w:rsidRPr="00CB2B03">
        <w:t>60 “Field Cabinets”.</w:t>
      </w:r>
    </w:p>
    <w:p w:rsidR="00B3099E" w:rsidRPr="00CB2B03" w:rsidRDefault="00B3099E" w:rsidP="001F3121">
      <w:pPr>
        <w:jc w:val="left"/>
      </w:pPr>
    </w:p>
    <w:p w:rsidR="0051440B" w:rsidRPr="00CB2B03" w:rsidRDefault="00F61D65" w:rsidP="001F3121">
      <w:pPr>
        <w:jc w:val="left"/>
        <w:rPr>
          <w:b/>
          <w:u w:val="single"/>
        </w:rPr>
      </w:pPr>
      <w:bookmarkStart w:id="76" w:name="_Toc184015731"/>
      <w:bookmarkStart w:id="77" w:name="_Toc184103440"/>
      <w:r w:rsidRPr="00CB2B03">
        <w:rPr>
          <w:b/>
        </w:rPr>
        <w:t>3</w:t>
      </w:r>
      <w:r w:rsidR="00A26BB0" w:rsidRPr="00CB2B03">
        <w:rPr>
          <w:b/>
        </w:rPr>
        <w:t>.7</w:t>
      </w:r>
      <w:r w:rsidR="00A26BB0" w:rsidRPr="00CB2B03">
        <w:rPr>
          <w:b/>
        </w:rPr>
        <w:tab/>
      </w:r>
      <w:bookmarkEnd w:id="76"/>
      <w:bookmarkEnd w:id="77"/>
      <w:r w:rsidR="0051440B" w:rsidRPr="00CB2B03">
        <w:rPr>
          <w:b/>
          <w:u w:val="single"/>
        </w:rPr>
        <w:t>Camera Controls</w:t>
      </w:r>
    </w:p>
    <w:p w:rsidR="00B3099E" w:rsidRPr="00160E5E" w:rsidRDefault="00B3099E" w:rsidP="001F3121">
      <w:pPr>
        <w:jc w:val="left"/>
        <w:rPr>
          <w:b/>
        </w:rPr>
      </w:pPr>
    </w:p>
    <w:p w:rsidR="0051440B" w:rsidRPr="00CD7B67" w:rsidRDefault="00CD7B67" w:rsidP="001F3121">
      <w:pPr>
        <w:jc w:val="left"/>
      </w:pPr>
      <w:r w:rsidRPr="00CD7B67">
        <w:t>Closed Circuit Television (</w:t>
      </w:r>
      <w:r w:rsidR="0051440B" w:rsidRPr="00CD7B67">
        <w:t>CCTV</w:t>
      </w:r>
      <w:r w:rsidRPr="00CD7B67">
        <w:t>)</w:t>
      </w:r>
      <w:r w:rsidR="0051440B" w:rsidRPr="00CD7B67">
        <w:t xml:space="preserve"> cameras must have control facilities for pan, tilt, zoom and focus that are compatible with the CCTV control network in the TMC current at the time of the provision of the CCTV cameras.</w:t>
      </w:r>
    </w:p>
    <w:p w:rsidR="0051440B" w:rsidRPr="00CB2B03" w:rsidRDefault="0051440B" w:rsidP="001F3121">
      <w:pPr>
        <w:jc w:val="left"/>
      </w:pPr>
      <w:bookmarkStart w:id="78" w:name="_Toc505574058"/>
      <w:bookmarkStart w:id="79" w:name="_Toc505589881"/>
      <w:bookmarkStart w:id="80" w:name="_Toc505663055"/>
      <w:bookmarkStart w:id="81" w:name="_Toc97716682"/>
      <w:bookmarkStart w:id="82" w:name="_Toc133310769"/>
      <w:bookmarkStart w:id="83" w:name="_Toc184030221"/>
    </w:p>
    <w:p w:rsidR="0051440B" w:rsidRPr="006331EB" w:rsidRDefault="0051440B" w:rsidP="001F3121">
      <w:pPr>
        <w:jc w:val="left"/>
        <w:rPr>
          <w:b/>
        </w:rPr>
      </w:pPr>
      <w:r w:rsidRPr="006331EB">
        <w:rPr>
          <w:b/>
        </w:rPr>
        <w:t>3.8</w:t>
      </w:r>
      <w:r w:rsidRPr="006331EB">
        <w:rPr>
          <w:b/>
        </w:rPr>
        <w:tab/>
      </w:r>
      <w:r w:rsidRPr="006331EB">
        <w:rPr>
          <w:b/>
          <w:u w:val="single"/>
        </w:rPr>
        <w:t>Lightning Protection</w:t>
      </w:r>
      <w:bookmarkEnd w:id="78"/>
      <w:bookmarkEnd w:id="79"/>
      <w:bookmarkEnd w:id="80"/>
      <w:bookmarkEnd w:id="81"/>
      <w:bookmarkEnd w:id="82"/>
      <w:bookmarkEnd w:id="83"/>
    </w:p>
    <w:p w:rsidR="0051440B" w:rsidRPr="00CB2B03" w:rsidRDefault="0051440B" w:rsidP="001F3121">
      <w:pPr>
        <w:jc w:val="left"/>
      </w:pPr>
    </w:p>
    <w:p w:rsidR="0051440B" w:rsidRPr="00CB2B03" w:rsidRDefault="0051440B" w:rsidP="001F3121">
      <w:pPr>
        <w:jc w:val="left"/>
      </w:pPr>
      <w:r w:rsidRPr="00CB2B03">
        <w:t xml:space="preserve">Each camera, lens and housing assembly </w:t>
      </w:r>
      <w:r w:rsidR="006B178E">
        <w:t>must</w:t>
      </w:r>
      <w:r w:rsidRPr="00CB2B03">
        <w:t xml:space="preserve"> be suitably protected from damage from transients induced by lightning strikes.</w:t>
      </w:r>
    </w:p>
    <w:p w:rsidR="00455539" w:rsidRPr="00160E5E" w:rsidRDefault="00455539" w:rsidP="001F3121">
      <w:pPr>
        <w:jc w:val="left"/>
      </w:pPr>
    </w:p>
    <w:p w:rsidR="00834D7C" w:rsidRPr="006331EB" w:rsidRDefault="003F1B1A" w:rsidP="001F3121">
      <w:pPr>
        <w:jc w:val="left"/>
        <w:rPr>
          <w:b/>
        </w:rPr>
      </w:pPr>
      <w:bookmarkStart w:id="84" w:name="_Toc184015747"/>
      <w:bookmarkStart w:id="85" w:name="_Toc184103456"/>
      <w:r>
        <w:rPr>
          <w:b/>
        </w:rPr>
        <w:t>4</w:t>
      </w:r>
      <w:r w:rsidR="00834D7C" w:rsidRPr="006331EB">
        <w:rPr>
          <w:b/>
        </w:rPr>
        <w:t>.</w:t>
      </w:r>
      <w:r w:rsidR="00834D7C" w:rsidRPr="006331EB">
        <w:rPr>
          <w:b/>
        </w:rPr>
        <w:tab/>
      </w:r>
      <w:bookmarkEnd w:id="84"/>
      <w:bookmarkEnd w:id="85"/>
      <w:r w:rsidR="005E4CB9">
        <w:rPr>
          <w:b/>
          <w:u w:val="single"/>
        </w:rPr>
        <w:t>OPERATIONAL REQUIREMENTS</w:t>
      </w:r>
    </w:p>
    <w:p w:rsidR="00834D7C" w:rsidRPr="005E4CB9" w:rsidRDefault="00834D7C" w:rsidP="001F3121">
      <w:pPr>
        <w:jc w:val="left"/>
      </w:pPr>
    </w:p>
    <w:p w:rsidR="005E4CB9" w:rsidRPr="005E4CB9" w:rsidRDefault="003F1B1A" w:rsidP="001F3121">
      <w:pPr>
        <w:jc w:val="left"/>
        <w:rPr>
          <w:b/>
        </w:rPr>
      </w:pPr>
      <w:bookmarkStart w:id="86" w:name="_Toc184015737"/>
      <w:bookmarkStart w:id="87" w:name="_Toc184103446"/>
      <w:bookmarkStart w:id="88" w:name="_Toc133310759"/>
      <w:bookmarkStart w:id="89" w:name="_Toc184030206"/>
      <w:r>
        <w:rPr>
          <w:b/>
        </w:rPr>
        <w:t>4</w:t>
      </w:r>
      <w:r w:rsidR="005E4CB9" w:rsidRPr="005E4CB9">
        <w:rPr>
          <w:b/>
        </w:rPr>
        <w:t>.1</w:t>
      </w:r>
      <w:r w:rsidR="005E4CB9" w:rsidRPr="005E4CB9">
        <w:rPr>
          <w:b/>
        </w:rPr>
        <w:tab/>
      </w:r>
      <w:r w:rsidR="005E4CB9" w:rsidRPr="005E4CB9">
        <w:rPr>
          <w:b/>
          <w:u w:val="single"/>
        </w:rPr>
        <w:t>Functional Requirements</w:t>
      </w:r>
      <w:bookmarkEnd w:id="88"/>
      <w:bookmarkEnd w:id="89"/>
    </w:p>
    <w:p w:rsidR="005E4CB9" w:rsidRDefault="005E4CB9" w:rsidP="001F3121">
      <w:pPr>
        <w:jc w:val="left"/>
      </w:pPr>
    </w:p>
    <w:p w:rsidR="005E4CB9" w:rsidRPr="005E4CB9" w:rsidRDefault="005E4CB9" w:rsidP="001F3121">
      <w:pPr>
        <w:jc w:val="left"/>
      </w:pPr>
      <w:r w:rsidRPr="005E4CB9">
        <w:t xml:space="preserve">The imaging </w:t>
      </w:r>
      <w:r w:rsidR="00EE45E1">
        <w:t>Equipment</w:t>
      </w:r>
      <w:r w:rsidRPr="005E4CB9">
        <w:t xml:space="preserve"> </w:t>
      </w:r>
      <w:r w:rsidR="006B178E">
        <w:t>must</w:t>
      </w:r>
      <w:r w:rsidRPr="005E4CB9">
        <w:t xml:space="preserve"> be used as part of an overall Traffic Management System</w:t>
      </w:r>
      <w:r w:rsidR="00970560">
        <w:t xml:space="preserve"> (TMS)</w:t>
      </w:r>
      <w:r w:rsidRPr="005E4CB9">
        <w:t xml:space="preserve">.  In accordance with the project specific requirements, the imaging </w:t>
      </w:r>
      <w:r w:rsidR="00EE45E1">
        <w:t>Equipment</w:t>
      </w:r>
      <w:r w:rsidRPr="005E4CB9">
        <w:t xml:space="preserve"> must allow </w:t>
      </w:r>
      <w:r w:rsidR="003E1625">
        <w:t xml:space="preserve">TMC </w:t>
      </w:r>
      <w:r w:rsidRPr="005E4CB9">
        <w:t>staff to:</w:t>
      </w:r>
    </w:p>
    <w:p w:rsidR="005E4CB9" w:rsidRPr="005E4CB9" w:rsidRDefault="005E4CB9" w:rsidP="00337C89">
      <w:pPr>
        <w:numPr>
          <w:ilvl w:val="0"/>
          <w:numId w:val="14"/>
        </w:numPr>
        <w:tabs>
          <w:tab w:val="clear" w:pos="1080"/>
        </w:tabs>
        <w:spacing w:before="120"/>
        <w:ind w:left="714" w:hanging="357"/>
        <w:jc w:val="left"/>
      </w:pPr>
      <w:r w:rsidRPr="005E4CB9">
        <w:t>detect, verify and manage incidents and other congestion;</w:t>
      </w:r>
    </w:p>
    <w:p w:rsidR="005E4CB9" w:rsidRPr="005E4CB9" w:rsidRDefault="005E4CB9" w:rsidP="00337C89">
      <w:pPr>
        <w:numPr>
          <w:ilvl w:val="0"/>
          <w:numId w:val="14"/>
        </w:numPr>
        <w:tabs>
          <w:tab w:val="clear" w:pos="1080"/>
        </w:tabs>
        <w:spacing w:before="120"/>
        <w:ind w:left="714" w:hanging="357"/>
        <w:jc w:val="left"/>
      </w:pPr>
      <w:r w:rsidRPr="005E4CB9">
        <w:t xml:space="preserve">monitor and control the imaging </w:t>
      </w:r>
      <w:r w:rsidR="00EE45E1">
        <w:t>Equipment</w:t>
      </w:r>
      <w:r w:rsidRPr="005E4CB9">
        <w:t xml:space="preserve"> from </w:t>
      </w:r>
      <w:r w:rsidR="00970560">
        <w:t xml:space="preserve">the </w:t>
      </w:r>
      <w:r w:rsidRPr="005E4CB9">
        <w:t>TMC, and/or other nominated location(s);</w:t>
      </w:r>
    </w:p>
    <w:p w:rsidR="005E4CB9" w:rsidRPr="005E4CB9" w:rsidRDefault="005E4CB9" w:rsidP="00337C89">
      <w:pPr>
        <w:numPr>
          <w:ilvl w:val="0"/>
          <w:numId w:val="14"/>
        </w:numPr>
        <w:tabs>
          <w:tab w:val="clear" w:pos="1080"/>
        </w:tabs>
        <w:spacing w:before="120"/>
        <w:ind w:left="714" w:hanging="357"/>
        <w:jc w:val="left"/>
      </w:pPr>
      <w:r w:rsidRPr="005E4CB9">
        <w:t>monitor pedestrian and/or cycleway activities;</w:t>
      </w:r>
    </w:p>
    <w:p w:rsidR="005E4CB9" w:rsidRPr="005E4CB9" w:rsidRDefault="005E4CB9" w:rsidP="00337C89">
      <w:pPr>
        <w:numPr>
          <w:ilvl w:val="0"/>
          <w:numId w:val="14"/>
        </w:numPr>
        <w:tabs>
          <w:tab w:val="clear" w:pos="1080"/>
        </w:tabs>
        <w:spacing w:before="120"/>
        <w:ind w:left="714" w:hanging="357"/>
        <w:jc w:val="left"/>
      </w:pPr>
      <w:r w:rsidRPr="005E4CB9">
        <w:t>monitor operation of Heavy Vehicle Management System, including security at the associated interception sites.</w:t>
      </w:r>
    </w:p>
    <w:p w:rsidR="005E4CB9" w:rsidRDefault="005E4CB9" w:rsidP="001F3121">
      <w:pPr>
        <w:jc w:val="left"/>
      </w:pPr>
      <w:bookmarkStart w:id="90" w:name="_Toc133310760"/>
      <w:bookmarkStart w:id="91" w:name="_Toc184030207"/>
    </w:p>
    <w:p w:rsidR="005E4CB9" w:rsidRPr="005E4CB9" w:rsidRDefault="003F1B1A" w:rsidP="001F3121">
      <w:pPr>
        <w:jc w:val="left"/>
        <w:rPr>
          <w:b/>
        </w:rPr>
      </w:pPr>
      <w:r>
        <w:rPr>
          <w:b/>
        </w:rPr>
        <w:t>4</w:t>
      </w:r>
      <w:r w:rsidR="005E4CB9" w:rsidRPr="005E4CB9">
        <w:rPr>
          <w:b/>
        </w:rPr>
        <w:t>.2</w:t>
      </w:r>
      <w:r w:rsidR="005E4CB9" w:rsidRPr="005E4CB9">
        <w:rPr>
          <w:b/>
        </w:rPr>
        <w:tab/>
      </w:r>
      <w:r w:rsidR="005E4CB9" w:rsidRPr="005E4CB9">
        <w:rPr>
          <w:b/>
          <w:u w:val="single"/>
        </w:rPr>
        <w:t>Performance Requirements</w:t>
      </w:r>
      <w:bookmarkEnd w:id="90"/>
      <w:bookmarkEnd w:id="91"/>
    </w:p>
    <w:p w:rsidR="005E4CB9" w:rsidRDefault="005E4CB9" w:rsidP="001F3121">
      <w:pPr>
        <w:jc w:val="left"/>
      </w:pPr>
      <w:bookmarkStart w:id="92" w:name="_Toc184030208"/>
    </w:p>
    <w:p w:rsidR="005E4CB9" w:rsidRPr="005E4CB9" w:rsidRDefault="005E4CB9" w:rsidP="001F3121">
      <w:pPr>
        <w:jc w:val="left"/>
        <w:rPr>
          <w:b/>
        </w:rPr>
      </w:pPr>
      <w:r w:rsidRPr="005E4CB9">
        <w:rPr>
          <w:b/>
        </w:rPr>
        <w:t>General</w:t>
      </w:r>
      <w:bookmarkEnd w:id="92"/>
    </w:p>
    <w:p w:rsidR="005E4CB9" w:rsidRDefault="005E4CB9" w:rsidP="001F3121">
      <w:pPr>
        <w:jc w:val="left"/>
      </w:pPr>
      <w:r w:rsidRPr="005E4CB9">
        <w:t xml:space="preserve">Images must be captured, transmitted and displayed at the highest quality and refresh rate permitted by capacity of the Principal’s telecommunications network and the imaging </w:t>
      </w:r>
      <w:r w:rsidR="00EE45E1">
        <w:t>Equipment</w:t>
      </w:r>
      <w:r w:rsidRPr="005E4CB9">
        <w:t xml:space="preserve">. </w:t>
      </w:r>
      <w:r w:rsidR="00BA2CA4">
        <w:t xml:space="preserve"> </w:t>
      </w:r>
      <w:r w:rsidRPr="005E4CB9">
        <w:t>The video and control signals associated with a particular camera must be transmitted digitally over the same telecommunications channel. Non-vendor specific video compression may be used.  Images must be transmitted to the TMC, and other sites as specified in the Contract.</w:t>
      </w:r>
    </w:p>
    <w:p w:rsidR="00BA2CA4" w:rsidRPr="005E4CB9" w:rsidRDefault="00BA2CA4" w:rsidP="001F3121">
      <w:pPr>
        <w:jc w:val="left"/>
      </w:pPr>
    </w:p>
    <w:p w:rsidR="005E4CB9" w:rsidRDefault="005E4CB9" w:rsidP="001F3121">
      <w:pPr>
        <w:jc w:val="left"/>
      </w:pPr>
      <w:r w:rsidRPr="005E4CB9">
        <w:t xml:space="preserve">Digital imaging technology may be used throughout the entire image data chain, including the camera and displays. However, the imaging </w:t>
      </w:r>
      <w:r w:rsidR="00EE45E1">
        <w:t>Equipment</w:t>
      </w:r>
      <w:r w:rsidRPr="005E4CB9">
        <w:t xml:space="preserve">, and images provided by this </w:t>
      </w:r>
      <w:r w:rsidR="00EE45E1">
        <w:t>Equipment</w:t>
      </w:r>
      <w:r w:rsidRPr="005E4CB9">
        <w:t xml:space="preserve"> must be interoperable with the imaging display and control systems being utilised by the Principal, current at the time of the provision of the </w:t>
      </w:r>
      <w:r w:rsidR="00EE45E1">
        <w:t>Equipment</w:t>
      </w:r>
      <w:r w:rsidRPr="005E4CB9">
        <w:t xml:space="preserve">. In addition, imaging </w:t>
      </w:r>
      <w:r w:rsidR="00EE45E1">
        <w:t>Equipment</w:t>
      </w:r>
      <w:r w:rsidRPr="005E4CB9">
        <w:t xml:space="preserve"> must utilise proven, industry-standards that are current at the time of the provision of the </w:t>
      </w:r>
      <w:r w:rsidR="00EE45E1">
        <w:t>Equipment</w:t>
      </w:r>
      <w:r w:rsidRPr="005E4CB9">
        <w:t>.</w:t>
      </w:r>
    </w:p>
    <w:p w:rsidR="00BA2CA4" w:rsidRPr="005E4CB9" w:rsidRDefault="00BA2CA4" w:rsidP="001F3121">
      <w:pPr>
        <w:jc w:val="left"/>
      </w:pPr>
    </w:p>
    <w:p w:rsidR="005E4CB9" w:rsidRPr="005E4CB9" w:rsidRDefault="005E4CB9" w:rsidP="001F3121">
      <w:pPr>
        <w:jc w:val="left"/>
      </w:pPr>
      <w:r w:rsidRPr="005E4CB9">
        <w:t xml:space="preserve">The video images from the field cameras </w:t>
      </w:r>
      <w:r w:rsidR="006B178E">
        <w:t>must</w:t>
      </w:r>
      <w:r w:rsidRPr="005E4CB9">
        <w:t xml:space="preserve"> be either real time or slow scan as determined by the communication system used to each camera site. End-to-end image compression / decompression must retain the maximum image quality to ensure that the functional requirements are met. The image quality and resolution displayed at the TMC must satisfy the identification requirements as specified below:</w:t>
      </w:r>
    </w:p>
    <w:p w:rsidR="005E4CB9" w:rsidRDefault="005E4CB9" w:rsidP="001F3121">
      <w:pPr>
        <w:jc w:val="left"/>
      </w:pPr>
      <w:bookmarkStart w:id="93" w:name="_Toc184030209"/>
    </w:p>
    <w:p w:rsidR="005E4CB9" w:rsidRPr="005E4CB9" w:rsidRDefault="005E4CB9" w:rsidP="001F3121">
      <w:pPr>
        <w:jc w:val="left"/>
        <w:rPr>
          <w:b/>
        </w:rPr>
      </w:pPr>
      <w:r w:rsidRPr="005E4CB9">
        <w:rPr>
          <w:b/>
        </w:rPr>
        <w:t>Image Data Rate</w:t>
      </w:r>
      <w:bookmarkEnd w:id="93"/>
    </w:p>
    <w:p w:rsidR="005E4CB9" w:rsidRDefault="005E4CB9" w:rsidP="001F3121">
      <w:pPr>
        <w:jc w:val="left"/>
      </w:pPr>
      <w:r w:rsidRPr="005E4CB9">
        <w:t>Where the image will be transmitted entirely by fibre, the transmitted image must be refreshed with at least 25 frames per second at maximum camera resolution over the full dynamic ranges of the camera.</w:t>
      </w:r>
      <w:r w:rsidR="00BA2CA4">
        <w:t xml:space="preserve"> </w:t>
      </w:r>
      <w:r w:rsidRPr="005E4CB9">
        <w:t xml:space="preserve">Where the image will be transmitted other than entirely by fibre, the transmitted image must be refreshed with at least four (4) frames per second at minimum CIF resolution over the full dynamic ranges of the camera. </w:t>
      </w:r>
    </w:p>
    <w:p w:rsidR="00BA2CA4" w:rsidRPr="005E4CB9" w:rsidRDefault="00BA2CA4" w:rsidP="001F3121">
      <w:pPr>
        <w:jc w:val="left"/>
      </w:pPr>
    </w:p>
    <w:p w:rsidR="005E4CB9" w:rsidRPr="005E4CB9" w:rsidRDefault="005E4CB9" w:rsidP="001F3121">
      <w:pPr>
        <w:jc w:val="left"/>
      </w:pPr>
      <w:r w:rsidRPr="005E4CB9">
        <w:t>Where reduced bandwidth conditions occur due to failure and/or degradation of the normal (primary) image transmission channel, the image quality must automatically throttle back to retain maximum image quality as allowed by the reduced channel bandwidth. The absolute minimum image quality parameters acceptable over a reduced bandwidth (secondary) transmission channel must be least four (4) frames per second at minimum CIF resolution using the full dynamic ranges of the camera.</w:t>
      </w:r>
      <w:r w:rsidR="00BA2CA4">
        <w:t xml:space="preserve">  </w:t>
      </w:r>
      <w:r w:rsidRPr="005E4CB9">
        <w:t>Upon resumption of normal (primary) transmission channel bandwidth, the image quality must automatically return to normal image quality.</w:t>
      </w:r>
    </w:p>
    <w:p w:rsidR="005E4CB9" w:rsidRDefault="005E4CB9" w:rsidP="001F3121">
      <w:pPr>
        <w:jc w:val="left"/>
      </w:pPr>
      <w:bookmarkStart w:id="94" w:name="_Toc184030210"/>
    </w:p>
    <w:p w:rsidR="005E4CB9" w:rsidRPr="005E4CB9" w:rsidRDefault="005E4CB9" w:rsidP="001F3121">
      <w:pPr>
        <w:jc w:val="left"/>
        <w:rPr>
          <w:b/>
        </w:rPr>
      </w:pPr>
      <w:r w:rsidRPr="005E4CB9">
        <w:rPr>
          <w:b/>
        </w:rPr>
        <w:t>Type “P” (Pedestrian) Applications</w:t>
      </w:r>
      <w:bookmarkEnd w:id="94"/>
    </w:p>
    <w:p w:rsidR="005E4CB9" w:rsidRPr="005E4CB9" w:rsidRDefault="005E4CB9" w:rsidP="001F3121">
      <w:pPr>
        <w:jc w:val="left"/>
      </w:pPr>
      <w:r w:rsidRPr="005E4CB9">
        <w:t>At all points in the area(s) nominated in the Contract, the entire body of a person approximately 1.8m tall must occupy at least 240 vertical pixels of the uncompressed image captured by the camera.</w:t>
      </w:r>
      <w:r w:rsidR="00BA2CA4">
        <w:t xml:space="preserve"> </w:t>
      </w:r>
      <w:r w:rsidRPr="005E4CB9">
        <w:t xml:space="preserve">Human characteristics such as hair, skin and clothing colour (during daylight hours), and bodily appearance, sufficient to make positive identification at locations nominated in the Contract in all lighting conditions. </w:t>
      </w:r>
      <w:r w:rsidR="00BA2CA4">
        <w:t xml:space="preserve"> </w:t>
      </w:r>
      <w:r w:rsidRPr="005E4CB9">
        <w:t xml:space="preserve">The decompressed image at the TMC must display the same person with at least 240 vertical pixels when shown at 100% of image size.  </w:t>
      </w:r>
    </w:p>
    <w:p w:rsidR="005E4CB9" w:rsidRDefault="005E4CB9" w:rsidP="001F3121">
      <w:pPr>
        <w:jc w:val="left"/>
      </w:pPr>
      <w:bookmarkStart w:id="95" w:name="_Toc184030211"/>
    </w:p>
    <w:p w:rsidR="005E4CB9" w:rsidRPr="005E4CB9" w:rsidRDefault="005E4CB9" w:rsidP="001F3121">
      <w:pPr>
        <w:jc w:val="left"/>
        <w:rPr>
          <w:b/>
        </w:rPr>
      </w:pPr>
      <w:r w:rsidRPr="005E4CB9">
        <w:rPr>
          <w:b/>
        </w:rPr>
        <w:t>Type “V” (Vehicle) Applications</w:t>
      </w:r>
      <w:bookmarkEnd w:id="95"/>
    </w:p>
    <w:p w:rsidR="005E4CB9" w:rsidRPr="005E4CB9" w:rsidRDefault="005E4CB9" w:rsidP="001F3121">
      <w:pPr>
        <w:jc w:val="left"/>
      </w:pPr>
      <w:r w:rsidRPr="005E4CB9">
        <w:t>At all points between CCTV camera installation sites, an entire small passenger sedan vehicle must occupy at least 25 vertical pixels (approximately 60mm per vertical pixel) of the uncompressed image captured by the camera.</w:t>
      </w:r>
      <w:r w:rsidR="00BA2CA4">
        <w:t xml:space="preserve"> </w:t>
      </w:r>
      <w:r w:rsidRPr="005E4CB9">
        <w:t>Vehicle characteristics such as colour (during daylight hours) and shape must be easily discernable at all points between CCTV camera installation sites in all lighting conditions.</w:t>
      </w:r>
      <w:r w:rsidR="00BA2CA4">
        <w:t xml:space="preserve"> </w:t>
      </w:r>
      <w:r w:rsidRPr="005E4CB9">
        <w:t xml:space="preserve">The decompressed image at the TMC must display the same vehicle with at least 25 vertical pixels when shown at 100% of image size. </w:t>
      </w:r>
    </w:p>
    <w:p w:rsidR="005E4CB9" w:rsidRDefault="005E4CB9" w:rsidP="001F3121">
      <w:pPr>
        <w:jc w:val="left"/>
      </w:pPr>
      <w:bookmarkStart w:id="96" w:name="_Toc505574049"/>
      <w:bookmarkStart w:id="97" w:name="_Toc505589872"/>
      <w:bookmarkStart w:id="98" w:name="_Toc505663046"/>
      <w:bookmarkStart w:id="99" w:name="_Toc97716673"/>
      <w:bookmarkStart w:id="100" w:name="_Toc127098056"/>
      <w:bookmarkStart w:id="101" w:name="_Toc114983063"/>
      <w:bookmarkStart w:id="102" w:name="_Toc184030212"/>
    </w:p>
    <w:p w:rsidR="005E4CB9" w:rsidRPr="005E4CB9" w:rsidRDefault="005E4CB9" w:rsidP="001F3121">
      <w:pPr>
        <w:jc w:val="left"/>
        <w:rPr>
          <w:b/>
        </w:rPr>
      </w:pPr>
      <w:r w:rsidRPr="005E4CB9">
        <w:rPr>
          <w:b/>
        </w:rPr>
        <w:t>CCTV Control System</w:t>
      </w:r>
      <w:bookmarkEnd w:id="100"/>
      <w:bookmarkEnd w:id="101"/>
      <w:bookmarkEnd w:id="102"/>
    </w:p>
    <w:p w:rsidR="005E4CB9" w:rsidRPr="005E4CB9" w:rsidRDefault="005E4CB9" w:rsidP="001F3121">
      <w:pPr>
        <w:jc w:val="left"/>
      </w:pPr>
      <w:r w:rsidRPr="005E4CB9">
        <w:t xml:space="preserve">The effect of commands issued by the operator in the TMC must be observed by the operator within 200msec. </w:t>
      </w:r>
    </w:p>
    <w:bookmarkEnd w:id="96"/>
    <w:bookmarkEnd w:id="97"/>
    <w:bookmarkEnd w:id="98"/>
    <w:bookmarkEnd w:id="99"/>
    <w:p w:rsidR="00384C2D" w:rsidRPr="00B606D4" w:rsidRDefault="00384C2D" w:rsidP="000D6CF4"/>
    <w:p w:rsidR="003F1B1A" w:rsidRDefault="003F1B1A" w:rsidP="001F3121">
      <w:pPr>
        <w:jc w:val="left"/>
        <w:rPr>
          <w:b/>
        </w:rPr>
      </w:pPr>
      <w:r>
        <w:rPr>
          <w:b/>
        </w:rPr>
        <w:t>4.3</w:t>
      </w:r>
      <w:r>
        <w:rPr>
          <w:b/>
        </w:rPr>
        <w:tab/>
      </w:r>
      <w:r w:rsidRPr="003F1B1A">
        <w:rPr>
          <w:b/>
          <w:u w:val="single"/>
        </w:rPr>
        <w:t>Power Supply</w:t>
      </w:r>
    </w:p>
    <w:bookmarkEnd w:id="86"/>
    <w:bookmarkEnd w:id="87"/>
    <w:p w:rsidR="00225D9D" w:rsidRPr="00160E5E" w:rsidRDefault="00225D9D" w:rsidP="001F3121">
      <w:pPr>
        <w:jc w:val="left"/>
      </w:pPr>
    </w:p>
    <w:p w:rsidR="00225D9D" w:rsidRPr="001C56B0" w:rsidRDefault="003F1B1A" w:rsidP="001F3121">
      <w:pPr>
        <w:jc w:val="left"/>
      </w:pPr>
      <w:r>
        <w:t xml:space="preserve">Mains Power must be supplied in accordance with Part </w:t>
      </w:r>
      <w:r w:rsidR="00A63740">
        <w:t>R</w:t>
      </w:r>
      <w:r>
        <w:t xml:space="preserve">62 “Mains Power”. The Contractor </w:t>
      </w:r>
      <w:r w:rsidR="006B178E">
        <w:t>must</w:t>
      </w:r>
      <w:r>
        <w:t xml:space="preserve"> provide</w:t>
      </w:r>
      <w:r w:rsidR="00225D9D" w:rsidRPr="00225D9D">
        <w:t xml:space="preserve"> hardwired step-down power supplies for the imaging </w:t>
      </w:r>
      <w:r w:rsidR="00EE45E1">
        <w:t>Equipment</w:t>
      </w:r>
      <w:r w:rsidR="00225D9D" w:rsidRPr="00225D9D">
        <w:t xml:space="preserve">.  Where multiple cameras are connected to a single field cabinet, separate hardwired step-down power supplies must be provided for the imaging </w:t>
      </w:r>
      <w:r w:rsidR="00EE45E1">
        <w:t>Equipment</w:t>
      </w:r>
      <w:r w:rsidR="00225D9D" w:rsidRPr="00225D9D">
        <w:t xml:space="preserve"> </w:t>
      </w:r>
      <w:r w:rsidR="00225D9D" w:rsidRPr="001C56B0">
        <w:t>associated with each camera.</w:t>
      </w:r>
    </w:p>
    <w:p w:rsidR="00E95AB9" w:rsidRPr="00B606D4" w:rsidRDefault="00E95AB9" w:rsidP="001F3121">
      <w:pPr>
        <w:jc w:val="left"/>
        <w:rPr>
          <w:rFonts w:eastAsia="MS Mincho"/>
        </w:rPr>
      </w:pPr>
    </w:p>
    <w:p w:rsidR="00E45510" w:rsidRPr="009B683D" w:rsidRDefault="003F1B1A" w:rsidP="001F3121">
      <w:pPr>
        <w:jc w:val="left"/>
        <w:rPr>
          <w:b/>
          <w:u w:val="single"/>
        </w:rPr>
      </w:pPr>
      <w:bookmarkStart w:id="103" w:name="_Toc184015750"/>
      <w:bookmarkStart w:id="104" w:name="_Toc184103459"/>
      <w:r>
        <w:rPr>
          <w:b/>
        </w:rPr>
        <w:t>5</w:t>
      </w:r>
      <w:r w:rsidR="00BF64F6" w:rsidRPr="009B683D">
        <w:rPr>
          <w:b/>
        </w:rPr>
        <w:t>.</w:t>
      </w:r>
      <w:r w:rsidR="00BF64F6" w:rsidRPr="009B683D">
        <w:rPr>
          <w:b/>
        </w:rPr>
        <w:tab/>
      </w:r>
      <w:r w:rsidR="009B683D" w:rsidRPr="009B683D">
        <w:rPr>
          <w:b/>
          <w:u w:val="single"/>
        </w:rPr>
        <w:t>TELECOMMUNICATIONS REQUIREMENTS</w:t>
      </w:r>
      <w:bookmarkEnd w:id="103"/>
      <w:bookmarkEnd w:id="104"/>
    </w:p>
    <w:p w:rsidR="00E45510" w:rsidRPr="00160E5E" w:rsidRDefault="00E45510" w:rsidP="001F3121">
      <w:pPr>
        <w:jc w:val="left"/>
      </w:pPr>
    </w:p>
    <w:p w:rsidR="009B683D" w:rsidRDefault="009B683D" w:rsidP="001F3121">
      <w:pPr>
        <w:jc w:val="left"/>
      </w:pPr>
      <w:r w:rsidRPr="009B683D">
        <w:t>Where necessary, the Contractor must act as the Principal’s agent in arranging for connection of a public telecommunications service to the site in the name of the Principal.  Within 14 days of a written request, the Principal will provide relevant details to enable the Contractor to complete the forms required by the public telecommunications service provider.</w:t>
      </w:r>
    </w:p>
    <w:p w:rsidR="00F84534" w:rsidRPr="009B683D" w:rsidRDefault="00F84534" w:rsidP="001F3121">
      <w:pPr>
        <w:jc w:val="left"/>
      </w:pPr>
    </w:p>
    <w:p w:rsidR="00F84534" w:rsidRDefault="009B683D" w:rsidP="001F3121">
      <w:pPr>
        <w:jc w:val="left"/>
      </w:pPr>
      <w:r w:rsidRPr="009B683D">
        <w:t xml:space="preserve">Temporary connections to a public telecommunications service must be in the name of the Contractor. </w:t>
      </w:r>
    </w:p>
    <w:p w:rsidR="00F84534" w:rsidRDefault="00F84534" w:rsidP="001F3121">
      <w:pPr>
        <w:jc w:val="left"/>
      </w:pPr>
    </w:p>
    <w:p w:rsidR="009B683D" w:rsidRPr="009B683D" w:rsidRDefault="009B683D" w:rsidP="001F3121">
      <w:pPr>
        <w:jc w:val="left"/>
      </w:pPr>
      <w:r w:rsidRPr="009B683D">
        <w:t xml:space="preserve">Provision for telecommunications lines must be provided in accordance with the requirements of ACIF and AS3085.1. </w:t>
      </w:r>
      <w:r w:rsidR="00F84534">
        <w:t xml:space="preserve"> </w:t>
      </w:r>
      <w:r w:rsidRPr="009B683D">
        <w:t xml:space="preserve">Telecommunication cables </w:t>
      </w:r>
      <w:r w:rsidR="006B178E">
        <w:t>must</w:t>
      </w:r>
      <w:r w:rsidRPr="009B683D">
        <w:t xml:space="preserve"> comply with Part </w:t>
      </w:r>
      <w:r w:rsidR="00A63740">
        <w:t>R</w:t>
      </w:r>
      <w:r w:rsidR="001F3121">
        <w:t>70</w:t>
      </w:r>
      <w:r w:rsidRPr="009B683D">
        <w:t xml:space="preserve"> “Telecommunications Cabling”.</w:t>
      </w:r>
    </w:p>
    <w:p w:rsidR="00F4497B" w:rsidRPr="00160E5E" w:rsidRDefault="00F4497B" w:rsidP="001F3121">
      <w:pPr>
        <w:jc w:val="left"/>
        <w:rPr>
          <w:bCs/>
        </w:rPr>
      </w:pPr>
    </w:p>
    <w:p w:rsidR="002A1501" w:rsidRPr="00B606D4" w:rsidRDefault="003F1B1A" w:rsidP="001F3121">
      <w:pPr>
        <w:jc w:val="left"/>
        <w:rPr>
          <w:b/>
          <w:bCs/>
        </w:rPr>
      </w:pPr>
      <w:r>
        <w:rPr>
          <w:b/>
          <w:bCs/>
        </w:rPr>
        <w:t>6</w:t>
      </w:r>
      <w:r w:rsidR="002A1501" w:rsidRPr="00B606D4">
        <w:rPr>
          <w:b/>
          <w:bCs/>
        </w:rPr>
        <w:t>.</w:t>
      </w:r>
      <w:r w:rsidR="002A1501" w:rsidRPr="00B606D4">
        <w:rPr>
          <w:b/>
          <w:bCs/>
        </w:rPr>
        <w:tab/>
      </w:r>
      <w:r w:rsidR="002A1501" w:rsidRPr="00B606D4">
        <w:rPr>
          <w:b/>
          <w:bCs/>
          <w:u w:val="single"/>
        </w:rPr>
        <w:t>HOLD POINTS</w:t>
      </w:r>
    </w:p>
    <w:p w:rsidR="002A1501" w:rsidRPr="00B606D4" w:rsidRDefault="002A1501" w:rsidP="001F3121">
      <w:pPr>
        <w:jc w:val="left"/>
      </w:pPr>
    </w:p>
    <w:p w:rsidR="002A1501" w:rsidRPr="00B606D4" w:rsidRDefault="002A1501" w:rsidP="001F3121">
      <w:pPr>
        <w:jc w:val="left"/>
      </w:pPr>
      <w:r w:rsidRPr="00B606D4">
        <w:t>The following is a summary of Hold Points referenced in this Part:</w:t>
      </w:r>
    </w:p>
    <w:p w:rsidR="002A1501" w:rsidRPr="00B606D4" w:rsidRDefault="002A1501" w:rsidP="001F3121">
      <w:pPr>
        <w:jc w:val="left"/>
      </w:pPr>
    </w:p>
    <w:tbl>
      <w:tblPr>
        <w:tblW w:w="9356" w:type="dxa"/>
        <w:tblInd w:w="120" w:type="dxa"/>
        <w:tblLayout w:type="fixed"/>
        <w:tblCellMar>
          <w:left w:w="120" w:type="dxa"/>
          <w:right w:w="120" w:type="dxa"/>
        </w:tblCellMar>
        <w:tblLook w:val="0000" w:firstRow="0" w:lastRow="0" w:firstColumn="0" w:lastColumn="0" w:noHBand="0" w:noVBand="0"/>
      </w:tblPr>
      <w:tblGrid>
        <w:gridCol w:w="1276"/>
        <w:gridCol w:w="6237"/>
        <w:gridCol w:w="1843"/>
      </w:tblGrid>
      <w:tr w:rsidR="002A1501" w:rsidRPr="00B606D4">
        <w:tblPrEx>
          <w:tblCellMar>
            <w:top w:w="0" w:type="dxa"/>
            <w:bottom w:w="0" w:type="dxa"/>
          </w:tblCellMar>
        </w:tblPrEx>
        <w:trPr>
          <w:cantSplit/>
        </w:trPr>
        <w:tc>
          <w:tcPr>
            <w:tcW w:w="1276" w:type="dxa"/>
            <w:tcBorders>
              <w:top w:val="single" w:sz="4" w:space="0" w:color="auto"/>
              <w:left w:val="single" w:sz="4" w:space="0" w:color="auto"/>
              <w:bottom w:val="single" w:sz="6" w:space="0" w:color="auto"/>
              <w:right w:val="single" w:sz="4" w:space="0" w:color="auto"/>
            </w:tcBorders>
            <w:vAlign w:val="center"/>
          </w:tcPr>
          <w:p w:rsidR="002A1501" w:rsidRPr="00B606D4" w:rsidRDefault="002A1501" w:rsidP="00624F64">
            <w:pPr>
              <w:spacing w:before="60" w:after="60"/>
              <w:jc w:val="center"/>
            </w:pPr>
            <w:r w:rsidRPr="00B606D4">
              <w:rPr>
                <w:b/>
              </w:rPr>
              <w:t>CLAUSE REF.</w:t>
            </w:r>
          </w:p>
        </w:tc>
        <w:tc>
          <w:tcPr>
            <w:tcW w:w="6237" w:type="dxa"/>
            <w:tcBorders>
              <w:top w:val="single" w:sz="4" w:space="0" w:color="auto"/>
              <w:left w:val="single" w:sz="4" w:space="0" w:color="auto"/>
              <w:bottom w:val="single" w:sz="6" w:space="0" w:color="auto"/>
              <w:right w:val="single" w:sz="4" w:space="0" w:color="auto"/>
            </w:tcBorders>
            <w:vAlign w:val="center"/>
          </w:tcPr>
          <w:p w:rsidR="002A1501" w:rsidRPr="00B606D4" w:rsidRDefault="002A1501" w:rsidP="001F3121">
            <w:pPr>
              <w:spacing w:before="60" w:after="60"/>
              <w:jc w:val="left"/>
            </w:pPr>
            <w:r w:rsidRPr="00B606D4">
              <w:rPr>
                <w:b/>
              </w:rPr>
              <w:t>HOLD POINT</w:t>
            </w:r>
          </w:p>
        </w:tc>
        <w:tc>
          <w:tcPr>
            <w:tcW w:w="1843" w:type="dxa"/>
            <w:tcBorders>
              <w:top w:val="single" w:sz="4" w:space="0" w:color="auto"/>
              <w:left w:val="single" w:sz="4" w:space="0" w:color="auto"/>
              <w:bottom w:val="single" w:sz="6" w:space="0" w:color="auto"/>
              <w:right w:val="single" w:sz="4" w:space="0" w:color="auto"/>
            </w:tcBorders>
            <w:vAlign w:val="center"/>
          </w:tcPr>
          <w:p w:rsidR="002A1501" w:rsidRPr="00B606D4" w:rsidRDefault="002A1501" w:rsidP="00624F64">
            <w:pPr>
              <w:spacing w:before="60" w:after="60"/>
              <w:jc w:val="center"/>
            </w:pPr>
            <w:r w:rsidRPr="00B606D4">
              <w:rPr>
                <w:b/>
              </w:rPr>
              <w:t>RESPONSE TIME</w:t>
            </w:r>
          </w:p>
        </w:tc>
      </w:tr>
      <w:tr w:rsidR="009144EF" w:rsidRPr="00B606D4">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9144EF" w:rsidRPr="00B606D4" w:rsidRDefault="00384C2D" w:rsidP="00031843">
            <w:pPr>
              <w:spacing w:before="60" w:after="60"/>
              <w:jc w:val="center"/>
            </w:pPr>
            <w:r>
              <w:t>2</w:t>
            </w:r>
          </w:p>
        </w:tc>
        <w:tc>
          <w:tcPr>
            <w:tcW w:w="6237" w:type="dxa"/>
            <w:tcBorders>
              <w:top w:val="single" w:sz="4" w:space="0" w:color="auto"/>
              <w:left w:val="single" w:sz="4" w:space="0" w:color="auto"/>
              <w:bottom w:val="single" w:sz="4" w:space="0" w:color="auto"/>
              <w:right w:val="single" w:sz="4" w:space="0" w:color="auto"/>
            </w:tcBorders>
          </w:tcPr>
          <w:p w:rsidR="009144EF" w:rsidRPr="00B606D4" w:rsidRDefault="009144EF" w:rsidP="001F3121">
            <w:pPr>
              <w:spacing w:before="60" w:after="60"/>
              <w:jc w:val="left"/>
            </w:pPr>
            <w:r w:rsidRPr="00B606D4">
              <w:t>Quality Plan</w:t>
            </w:r>
          </w:p>
        </w:tc>
        <w:tc>
          <w:tcPr>
            <w:tcW w:w="1843" w:type="dxa"/>
            <w:tcBorders>
              <w:top w:val="single" w:sz="4" w:space="0" w:color="auto"/>
              <w:left w:val="single" w:sz="4" w:space="0" w:color="auto"/>
              <w:bottom w:val="single" w:sz="4" w:space="0" w:color="auto"/>
              <w:right w:val="single" w:sz="4" w:space="0" w:color="auto"/>
            </w:tcBorders>
          </w:tcPr>
          <w:p w:rsidR="009144EF" w:rsidRPr="00B606D4" w:rsidRDefault="00384C2D" w:rsidP="00624F64">
            <w:pPr>
              <w:spacing w:before="60" w:after="60"/>
              <w:jc w:val="center"/>
            </w:pPr>
            <w:r>
              <w:t>7 days</w:t>
            </w:r>
          </w:p>
        </w:tc>
      </w:tr>
      <w:tr w:rsidR="009144EF" w:rsidRPr="00384C2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9144EF" w:rsidRPr="00384C2D" w:rsidRDefault="00384C2D" w:rsidP="00031843">
            <w:pPr>
              <w:spacing w:before="60" w:after="60"/>
              <w:jc w:val="center"/>
            </w:pPr>
            <w:r w:rsidRPr="00384C2D">
              <w:t>2</w:t>
            </w:r>
          </w:p>
        </w:tc>
        <w:tc>
          <w:tcPr>
            <w:tcW w:w="6237" w:type="dxa"/>
            <w:tcBorders>
              <w:top w:val="single" w:sz="4" w:space="0" w:color="auto"/>
              <w:left w:val="single" w:sz="4" w:space="0" w:color="auto"/>
              <w:bottom w:val="single" w:sz="4" w:space="0" w:color="auto"/>
              <w:right w:val="single" w:sz="4" w:space="0" w:color="auto"/>
            </w:tcBorders>
          </w:tcPr>
          <w:p w:rsidR="009144EF" w:rsidRPr="00384C2D" w:rsidRDefault="001F3121" w:rsidP="001F3121">
            <w:pPr>
              <w:spacing w:before="60" w:after="60"/>
              <w:jc w:val="left"/>
            </w:pPr>
            <w:r>
              <w:t>Evidence of STREAMS compatibility</w:t>
            </w:r>
          </w:p>
        </w:tc>
        <w:tc>
          <w:tcPr>
            <w:tcW w:w="1843" w:type="dxa"/>
            <w:tcBorders>
              <w:top w:val="single" w:sz="4" w:space="0" w:color="auto"/>
              <w:left w:val="single" w:sz="4" w:space="0" w:color="auto"/>
              <w:bottom w:val="single" w:sz="4" w:space="0" w:color="auto"/>
              <w:right w:val="single" w:sz="4" w:space="0" w:color="auto"/>
            </w:tcBorders>
          </w:tcPr>
          <w:p w:rsidR="009144EF" w:rsidRPr="00384C2D" w:rsidRDefault="00384C2D" w:rsidP="00624F64">
            <w:pPr>
              <w:spacing w:before="60" w:after="60"/>
              <w:jc w:val="center"/>
            </w:pPr>
            <w:r>
              <w:t>7 days</w:t>
            </w:r>
          </w:p>
        </w:tc>
      </w:tr>
      <w:tr w:rsidR="009144EF" w:rsidRPr="00B606D4">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9144EF" w:rsidRPr="00B606D4" w:rsidRDefault="001F3121" w:rsidP="00031843">
            <w:pPr>
              <w:spacing w:before="60" w:after="60"/>
              <w:jc w:val="center"/>
            </w:pPr>
            <w:r>
              <w:t>2</w:t>
            </w:r>
          </w:p>
        </w:tc>
        <w:tc>
          <w:tcPr>
            <w:tcW w:w="6237" w:type="dxa"/>
            <w:tcBorders>
              <w:top w:val="single" w:sz="4" w:space="0" w:color="auto"/>
              <w:left w:val="single" w:sz="4" w:space="0" w:color="auto"/>
              <w:bottom w:val="single" w:sz="4" w:space="0" w:color="auto"/>
              <w:right w:val="single" w:sz="4" w:space="0" w:color="auto"/>
            </w:tcBorders>
          </w:tcPr>
          <w:p w:rsidR="009144EF" w:rsidRPr="00B606D4" w:rsidRDefault="001F3121" w:rsidP="001F3121">
            <w:pPr>
              <w:spacing w:before="60" w:after="60"/>
              <w:jc w:val="left"/>
            </w:pPr>
            <w:r>
              <w:t>Samples for acceptance</w:t>
            </w:r>
          </w:p>
        </w:tc>
        <w:tc>
          <w:tcPr>
            <w:tcW w:w="1843" w:type="dxa"/>
            <w:tcBorders>
              <w:top w:val="single" w:sz="4" w:space="0" w:color="auto"/>
              <w:left w:val="single" w:sz="4" w:space="0" w:color="auto"/>
              <w:bottom w:val="single" w:sz="4" w:space="0" w:color="auto"/>
              <w:right w:val="single" w:sz="4" w:space="0" w:color="auto"/>
            </w:tcBorders>
          </w:tcPr>
          <w:p w:rsidR="009144EF" w:rsidRPr="00B606D4" w:rsidRDefault="00384C2D" w:rsidP="00624F64">
            <w:pPr>
              <w:spacing w:before="60" w:after="60"/>
              <w:jc w:val="center"/>
            </w:pPr>
            <w:r>
              <w:t>7 days</w:t>
            </w:r>
          </w:p>
        </w:tc>
      </w:tr>
    </w:tbl>
    <w:p w:rsidR="002A1501" w:rsidRPr="00B606D4" w:rsidRDefault="002A1501" w:rsidP="001F3121">
      <w:pPr>
        <w:jc w:val="left"/>
      </w:pPr>
    </w:p>
    <w:p w:rsidR="00D21E01" w:rsidRPr="00C304A2" w:rsidRDefault="00160E5E" w:rsidP="001F3121">
      <w:pPr>
        <w:jc w:val="left"/>
        <w:rPr>
          <w:b/>
          <w:bCs/>
        </w:rPr>
      </w:pPr>
      <w:r>
        <w:rPr>
          <w:b/>
          <w:bCs/>
        </w:rPr>
        <w:t>7</w:t>
      </w:r>
      <w:r w:rsidR="00D21E01" w:rsidRPr="00C304A2">
        <w:rPr>
          <w:b/>
          <w:bCs/>
        </w:rPr>
        <w:t>.</w:t>
      </w:r>
      <w:r w:rsidR="00D21E01" w:rsidRPr="00C304A2">
        <w:rPr>
          <w:b/>
          <w:bCs/>
        </w:rPr>
        <w:tab/>
      </w:r>
      <w:r w:rsidR="00D21E01" w:rsidRPr="00C304A2">
        <w:rPr>
          <w:b/>
          <w:bCs/>
          <w:u w:val="single"/>
        </w:rPr>
        <w:t>VERIFICATION REQUIREMENTS AND RECORDS</w:t>
      </w:r>
    </w:p>
    <w:p w:rsidR="00D21E01" w:rsidRPr="00C304A2" w:rsidRDefault="00D21E01" w:rsidP="001F3121">
      <w:pPr>
        <w:jc w:val="left"/>
      </w:pPr>
    </w:p>
    <w:p w:rsidR="00D21E01" w:rsidRPr="00C304A2" w:rsidRDefault="00D21E01" w:rsidP="001F3121">
      <w:pPr>
        <w:jc w:val="left"/>
      </w:pPr>
      <w:r w:rsidRPr="00C304A2">
        <w:t xml:space="preserve">The Contractor </w:t>
      </w:r>
      <w:r w:rsidR="006B178E">
        <w:t>must</w:t>
      </w:r>
      <w:r w:rsidRPr="00C304A2">
        <w:t xml:space="preserve"> supply the following records:</w:t>
      </w:r>
    </w:p>
    <w:p w:rsidR="00D21E01" w:rsidRPr="00C304A2" w:rsidRDefault="00D21E01" w:rsidP="001F3121">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5812"/>
      </w:tblGrid>
      <w:tr w:rsidR="00787195" w:rsidRPr="00B606D4">
        <w:tblPrEx>
          <w:tblCellMar>
            <w:top w:w="0" w:type="dxa"/>
            <w:bottom w:w="0" w:type="dxa"/>
          </w:tblCellMar>
        </w:tblPrEx>
        <w:trPr>
          <w:tblHeader/>
        </w:trPr>
        <w:tc>
          <w:tcPr>
            <w:tcW w:w="1134" w:type="dxa"/>
            <w:tcBorders>
              <w:bottom w:val="single" w:sz="4" w:space="0" w:color="auto"/>
            </w:tcBorders>
            <w:vAlign w:val="center"/>
          </w:tcPr>
          <w:p w:rsidR="00787195" w:rsidRPr="00B606D4" w:rsidRDefault="00787195" w:rsidP="00DD7A37">
            <w:pPr>
              <w:spacing w:before="120" w:after="120"/>
              <w:jc w:val="center"/>
              <w:rPr>
                <w:b/>
                <w:bCs/>
              </w:rPr>
            </w:pPr>
            <w:r w:rsidRPr="00B606D4">
              <w:rPr>
                <w:b/>
                <w:bCs/>
              </w:rPr>
              <w:t>CLAUSE REF.</w:t>
            </w:r>
          </w:p>
        </w:tc>
        <w:tc>
          <w:tcPr>
            <w:tcW w:w="2410" w:type="dxa"/>
            <w:tcBorders>
              <w:bottom w:val="single" w:sz="4" w:space="0" w:color="auto"/>
            </w:tcBorders>
            <w:vAlign w:val="center"/>
          </w:tcPr>
          <w:p w:rsidR="00787195" w:rsidRPr="00B606D4" w:rsidRDefault="00787195" w:rsidP="00DD7A37">
            <w:pPr>
              <w:spacing w:before="120" w:after="120"/>
              <w:jc w:val="center"/>
              <w:rPr>
                <w:b/>
                <w:bCs/>
              </w:rPr>
            </w:pPr>
            <w:r w:rsidRPr="00B606D4">
              <w:rPr>
                <w:b/>
                <w:bCs/>
              </w:rPr>
              <w:t>SUBJECT</w:t>
            </w:r>
          </w:p>
        </w:tc>
        <w:tc>
          <w:tcPr>
            <w:tcW w:w="5812" w:type="dxa"/>
            <w:tcBorders>
              <w:bottom w:val="single" w:sz="4" w:space="0" w:color="auto"/>
            </w:tcBorders>
            <w:vAlign w:val="center"/>
          </w:tcPr>
          <w:p w:rsidR="00787195" w:rsidRPr="00B606D4" w:rsidRDefault="00787195" w:rsidP="00DD7A37">
            <w:pPr>
              <w:spacing w:before="120" w:after="120"/>
              <w:jc w:val="center"/>
              <w:rPr>
                <w:b/>
                <w:bCs/>
              </w:rPr>
            </w:pPr>
            <w:r w:rsidRPr="00B606D4">
              <w:rPr>
                <w:b/>
                <w:bCs/>
              </w:rPr>
              <w:t>RECORD TO BE PROVIDED</w:t>
            </w:r>
          </w:p>
        </w:tc>
      </w:tr>
      <w:tr w:rsidR="00787195" w:rsidRPr="00C304A2">
        <w:tblPrEx>
          <w:tblCellMar>
            <w:top w:w="0" w:type="dxa"/>
            <w:bottom w:w="0" w:type="dxa"/>
          </w:tblCellMar>
        </w:tblPrEx>
        <w:tc>
          <w:tcPr>
            <w:tcW w:w="1134" w:type="dxa"/>
            <w:tcBorders>
              <w:bottom w:val="single" w:sz="4" w:space="0" w:color="auto"/>
            </w:tcBorders>
          </w:tcPr>
          <w:p w:rsidR="00787195" w:rsidRPr="00C304A2" w:rsidRDefault="00A63740" w:rsidP="00DD7A37">
            <w:pPr>
              <w:spacing w:before="120" w:after="120"/>
              <w:jc w:val="center"/>
            </w:pPr>
            <w:r>
              <w:t>R</w:t>
            </w:r>
            <w:r w:rsidR="00787195">
              <w:t>60.11</w:t>
            </w:r>
          </w:p>
        </w:tc>
        <w:tc>
          <w:tcPr>
            <w:tcW w:w="2410" w:type="dxa"/>
            <w:tcBorders>
              <w:bottom w:val="single" w:sz="4" w:space="0" w:color="auto"/>
            </w:tcBorders>
          </w:tcPr>
          <w:p w:rsidR="00787195" w:rsidRPr="00C304A2" w:rsidRDefault="00787195" w:rsidP="00DD7A37">
            <w:pPr>
              <w:spacing w:before="120" w:after="120"/>
              <w:jc w:val="left"/>
            </w:pPr>
            <w:r>
              <w:t>Manuals</w:t>
            </w:r>
          </w:p>
        </w:tc>
        <w:tc>
          <w:tcPr>
            <w:tcW w:w="5812" w:type="dxa"/>
            <w:tcBorders>
              <w:bottom w:val="single" w:sz="4" w:space="0" w:color="auto"/>
            </w:tcBorders>
          </w:tcPr>
          <w:p w:rsidR="00787195" w:rsidRPr="00C304A2" w:rsidRDefault="00787195" w:rsidP="00DD7A37">
            <w:pPr>
              <w:spacing w:before="120" w:after="120"/>
              <w:jc w:val="left"/>
            </w:pPr>
            <w:r>
              <w:t xml:space="preserve">Operation and maintenance </w:t>
            </w:r>
            <w:r w:rsidRPr="0096574D">
              <w:t>manual</w:t>
            </w:r>
            <w:r>
              <w:t>(</w:t>
            </w:r>
            <w:r w:rsidRPr="0096574D">
              <w:t>s</w:t>
            </w:r>
            <w:r>
              <w:t>)</w:t>
            </w:r>
          </w:p>
        </w:tc>
      </w:tr>
      <w:tr w:rsidR="00787195" w:rsidRPr="00C304A2">
        <w:tblPrEx>
          <w:tblCellMar>
            <w:top w:w="0" w:type="dxa"/>
            <w:bottom w:w="0" w:type="dxa"/>
          </w:tblCellMar>
        </w:tblPrEx>
        <w:tc>
          <w:tcPr>
            <w:tcW w:w="1134" w:type="dxa"/>
            <w:tcBorders>
              <w:bottom w:val="single" w:sz="4" w:space="0" w:color="auto"/>
            </w:tcBorders>
          </w:tcPr>
          <w:p w:rsidR="00787195" w:rsidRDefault="00A63740" w:rsidP="00DD7A37">
            <w:pPr>
              <w:spacing w:before="120" w:after="120"/>
              <w:jc w:val="center"/>
            </w:pPr>
            <w:r>
              <w:t>R</w:t>
            </w:r>
            <w:r w:rsidR="00787195">
              <w:t>60.12</w:t>
            </w:r>
          </w:p>
        </w:tc>
        <w:tc>
          <w:tcPr>
            <w:tcW w:w="2410" w:type="dxa"/>
            <w:tcBorders>
              <w:bottom w:val="single" w:sz="4" w:space="0" w:color="auto"/>
            </w:tcBorders>
          </w:tcPr>
          <w:p w:rsidR="00787195" w:rsidRPr="00C304A2" w:rsidRDefault="00787195" w:rsidP="00DD7A37">
            <w:pPr>
              <w:spacing w:before="120" w:after="120"/>
              <w:jc w:val="left"/>
            </w:pPr>
            <w:r>
              <w:t>Warranty</w:t>
            </w:r>
          </w:p>
        </w:tc>
        <w:tc>
          <w:tcPr>
            <w:tcW w:w="5812" w:type="dxa"/>
            <w:tcBorders>
              <w:bottom w:val="single" w:sz="4" w:space="0" w:color="auto"/>
            </w:tcBorders>
          </w:tcPr>
          <w:p w:rsidR="00787195" w:rsidRDefault="00787195" w:rsidP="00DD7A37">
            <w:pPr>
              <w:spacing w:before="120" w:after="120"/>
              <w:jc w:val="left"/>
            </w:pPr>
            <w:r>
              <w:t>Manufacturer’s Warranty</w:t>
            </w:r>
          </w:p>
        </w:tc>
      </w:tr>
      <w:tr w:rsidR="00787195" w:rsidRPr="00C304A2">
        <w:tblPrEx>
          <w:tblCellMar>
            <w:top w:w="0" w:type="dxa"/>
            <w:bottom w:w="0" w:type="dxa"/>
          </w:tblCellMar>
        </w:tblPrEx>
        <w:tc>
          <w:tcPr>
            <w:tcW w:w="1134" w:type="dxa"/>
            <w:tcBorders>
              <w:bottom w:val="single" w:sz="4" w:space="0" w:color="auto"/>
            </w:tcBorders>
          </w:tcPr>
          <w:p w:rsidR="00787195" w:rsidRPr="00C304A2" w:rsidRDefault="00A63740" w:rsidP="00DD7A37">
            <w:pPr>
              <w:spacing w:before="120" w:after="120"/>
              <w:jc w:val="center"/>
            </w:pPr>
            <w:r>
              <w:t>R</w:t>
            </w:r>
            <w:r w:rsidR="00787195">
              <w:t>60.13</w:t>
            </w:r>
          </w:p>
        </w:tc>
        <w:tc>
          <w:tcPr>
            <w:tcW w:w="2410" w:type="dxa"/>
            <w:tcBorders>
              <w:bottom w:val="single" w:sz="4" w:space="0" w:color="auto"/>
            </w:tcBorders>
          </w:tcPr>
          <w:p w:rsidR="00787195" w:rsidRPr="00C304A2" w:rsidRDefault="00787195" w:rsidP="00DD7A37">
            <w:pPr>
              <w:spacing w:before="120" w:after="120"/>
              <w:jc w:val="left"/>
            </w:pPr>
            <w:r>
              <w:t>T</w:t>
            </w:r>
            <w:r w:rsidRPr="0096574D">
              <w:t>esting and commissioning</w:t>
            </w:r>
          </w:p>
        </w:tc>
        <w:tc>
          <w:tcPr>
            <w:tcW w:w="5812" w:type="dxa"/>
            <w:tcBorders>
              <w:bottom w:val="single" w:sz="4" w:space="0" w:color="auto"/>
            </w:tcBorders>
          </w:tcPr>
          <w:p w:rsidR="00787195" w:rsidRPr="00C304A2" w:rsidRDefault="00787195" w:rsidP="00DD7A37">
            <w:pPr>
              <w:spacing w:before="120" w:after="120"/>
              <w:jc w:val="left"/>
            </w:pPr>
            <w:r>
              <w:t>Factory Acceptance Test (FAT) Records</w:t>
            </w:r>
          </w:p>
        </w:tc>
      </w:tr>
      <w:tr w:rsidR="00787195" w:rsidRPr="00C304A2">
        <w:tblPrEx>
          <w:tblCellMar>
            <w:top w:w="0" w:type="dxa"/>
            <w:bottom w:w="0" w:type="dxa"/>
          </w:tblCellMar>
        </w:tblPrEx>
        <w:tc>
          <w:tcPr>
            <w:tcW w:w="1134" w:type="dxa"/>
            <w:tcBorders>
              <w:bottom w:val="single" w:sz="4" w:space="0" w:color="auto"/>
            </w:tcBorders>
          </w:tcPr>
          <w:p w:rsidR="00787195" w:rsidRPr="00C304A2" w:rsidRDefault="00A63740" w:rsidP="00DD7A37">
            <w:pPr>
              <w:spacing w:before="120" w:after="120"/>
              <w:jc w:val="center"/>
            </w:pPr>
            <w:r>
              <w:t>R</w:t>
            </w:r>
            <w:r w:rsidR="00787195">
              <w:t>60.14</w:t>
            </w:r>
          </w:p>
        </w:tc>
        <w:tc>
          <w:tcPr>
            <w:tcW w:w="2410" w:type="dxa"/>
            <w:tcBorders>
              <w:bottom w:val="single" w:sz="4" w:space="0" w:color="auto"/>
            </w:tcBorders>
          </w:tcPr>
          <w:p w:rsidR="00787195" w:rsidRPr="00C304A2" w:rsidRDefault="00787195" w:rsidP="00DD7A37">
            <w:pPr>
              <w:spacing w:before="120" w:after="120"/>
              <w:jc w:val="left"/>
            </w:pPr>
            <w:r w:rsidRPr="00C304A2">
              <w:t>System documentation</w:t>
            </w:r>
          </w:p>
        </w:tc>
        <w:tc>
          <w:tcPr>
            <w:tcW w:w="5812" w:type="dxa"/>
            <w:tcBorders>
              <w:bottom w:val="single" w:sz="4" w:space="0" w:color="auto"/>
            </w:tcBorders>
          </w:tcPr>
          <w:p w:rsidR="00787195" w:rsidRPr="00C304A2" w:rsidRDefault="006D7B68" w:rsidP="00DD7A37">
            <w:pPr>
              <w:spacing w:before="120" w:after="120"/>
              <w:jc w:val="left"/>
            </w:pPr>
            <w:r>
              <w:t>“A</w:t>
            </w:r>
            <w:r w:rsidRPr="0096574D">
              <w:t xml:space="preserve">s </w:t>
            </w:r>
            <w:r>
              <w:t>B</w:t>
            </w:r>
            <w:r w:rsidRPr="0096574D">
              <w:t>uilt</w:t>
            </w:r>
            <w:r>
              <w:t>”</w:t>
            </w:r>
            <w:r w:rsidRPr="0096574D">
              <w:t xml:space="preserve"> d</w:t>
            </w:r>
            <w:r>
              <w:t>ocumentation</w:t>
            </w:r>
          </w:p>
        </w:tc>
      </w:tr>
      <w:tr w:rsidR="00787195" w:rsidRPr="00C304A2">
        <w:tblPrEx>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tcPr>
          <w:p w:rsidR="00787195" w:rsidRPr="00C304A2" w:rsidRDefault="00A63740" w:rsidP="00DD7A37">
            <w:pPr>
              <w:spacing w:before="120" w:after="120"/>
              <w:jc w:val="center"/>
            </w:pPr>
            <w:r>
              <w:t>R</w:t>
            </w:r>
            <w:r w:rsidR="00787195" w:rsidRPr="0064333F">
              <w:t>61.</w:t>
            </w:r>
            <w:r w:rsidR="00787195">
              <w:t>6</w:t>
            </w:r>
          </w:p>
        </w:tc>
        <w:tc>
          <w:tcPr>
            <w:tcW w:w="2410" w:type="dxa"/>
            <w:tcBorders>
              <w:top w:val="single" w:sz="4" w:space="0" w:color="auto"/>
              <w:left w:val="single" w:sz="4" w:space="0" w:color="auto"/>
              <w:bottom w:val="single" w:sz="4" w:space="0" w:color="auto"/>
              <w:right w:val="single" w:sz="4" w:space="0" w:color="auto"/>
            </w:tcBorders>
          </w:tcPr>
          <w:p w:rsidR="00787195" w:rsidRPr="00C304A2" w:rsidRDefault="00787195" w:rsidP="00DD7A37">
            <w:pPr>
              <w:spacing w:before="120" w:after="120"/>
              <w:jc w:val="left"/>
            </w:pPr>
            <w:r>
              <w:t>T</w:t>
            </w:r>
            <w:r w:rsidRPr="0096574D">
              <w:t>esting and commissioning</w:t>
            </w:r>
            <w:r>
              <w:t xml:space="preserve"> (where the Contract includes installation)</w:t>
            </w:r>
          </w:p>
        </w:tc>
        <w:tc>
          <w:tcPr>
            <w:tcW w:w="5812" w:type="dxa"/>
            <w:tcBorders>
              <w:top w:val="single" w:sz="4" w:space="0" w:color="auto"/>
              <w:left w:val="single" w:sz="4" w:space="0" w:color="auto"/>
              <w:bottom w:val="single" w:sz="4" w:space="0" w:color="auto"/>
              <w:right w:val="single" w:sz="4" w:space="0" w:color="auto"/>
            </w:tcBorders>
          </w:tcPr>
          <w:p w:rsidR="00787195" w:rsidRDefault="00787195" w:rsidP="00A63740">
            <w:pPr>
              <w:spacing w:before="120" w:after="120"/>
              <w:jc w:val="left"/>
            </w:pPr>
            <w:r>
              <w:t>Site Acceptance Test (SAT) and System Integration Acceptance Test (SIAT) Records</w:t>
            </w:r>
            <w:r w:rsidR="00501642">
              <w:t xml:space="preserve"> - refer Part </w:t>
            </w:r>
            <w:r w:rsidR="00A63740">
              <w:t>R</w:t>
            </w:r>
            <w:r w:rsidR="00501642">
              <w:t>61 “Installation of ITS Equipment”</w:t>
            </w:r>
            <w:r w:rsidR="00A520F0">
              <w:t>.</w:t>
            </w:r>
          </w:p>
        </w:tc>
      </w:tr>
    </w:tbl>
    <w:p w:rsidR="00D21E01" w:rsidRDefault="00D21E01" w:rsidP="001F3121">
      <w:pPr>
        <w:jc w:val="left"/>
      </w:pPr>
    </w:p>
    <w:p w:rsidR="00160E5E" w:rsidRDefault="00160E5E" w:rsidP="001F3121">
      <w:pPr>
        <w:jc w:val="left"/>
      </w:pPr>
    </w:p>
    <w:p w:rsidR="00160E5E" w:rsidRPr="00C304A2" w:rsidRDefault="00160E5E" w:rsidP="001F3121">
      <w:pPr>
        <w:jc w:val="left"/>
      </w:pPr>
    </w:p>
    <w:p w:rsidR="002A1501" w:rsidRDefault="002A1501" w:rsidP="001F3121">
      <w:pPr>
        <w:jc w:val="center"/>
      </w:pPr>
      <w:r w:rsidRPr="00B606D4">
        <w:t>____________</w:t>
      </w:r>
    </w:p>
    <w:p w:rsidR="00160E5E" w:rsidRDefault="00160E5E" w:rsidP="00160E5E">
      <w:pPr>
        <w:jc w:val="left"/>
      </w:pPr>
    </w:p>
    <w:p w:rsidR="00160E5E" w:rsidRDefault="00160E5E" w:rsidP="00160E5E">
      <w:pPr>
        <w:jc w:val="left"/>
      </w:pPr>
    </w:p>
    <w:p w:rsidR="00160E5E" w:rsidRPr="00B606D4" w:rsidRDefault="00160E5E" w:rsidP="00160E5E">
      <w:pPr>
        <w:jc w:val="left"/>
        <w:sectPr w:rsidR="00160E5E" w:rsidRPr="00B606D4" w:rsidSect="00A63740">
          <w:headerReference w:type="default" r:id="rId7"/>
          <w:footerReference w:type="default" r:id="rId8"/>
          <w:endnotePr>
            <w:numFmt w:val="decimal"/>
          </w:endnotePr>
          <w:pgSz w:w="11906" w:h="16838" w:code="9"/>
          <w:pgMar w:top="851" w:right="851" w:bottom="567" w:left="1701" w:header="851" w:footer="567" w:gutter="0"/>
          <w:cols w:space="720"/>
          <w:noEndnote/>
        </w:sectPr>
      </w:pPr>
    </w:p>
    <w:p w:rsidR="002A1501" w:rsidRPr="00B606D4" w:rsidRDefault="002A1501" w:rsidP="001F3121">
      <w:pPr>
        <w:jc w:val="left"/>
      </w:pPr>
    </w:p>
    <w:sectPr w:rsidR="002A1501" w:rsidRPr="00B606D4" w:rsidSect="0037080B">
      <w:headerReference w:type="default" r:id="rId9"/>
      <w:endnotePr>
        <w:numFmt w:val="decimal"/>
      </w:endnotePr>
      <w:pgSz w:w="11906" w:h="16838"/>
      <w:pgMar w:top="851" w:right="851" w:bottom="566" w:left="1700" w:header="851" w:footer="56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FC1" w:rsidRDefault="00D57FC1">
      <w:pPr>
        <w:spacing w:line="20" w:lineRule="exact"/>
        <w:rPr>
          <w:sz w:val="24"/>
        </w:rPr>
      </w:pPr>
    </w:p>
  </w:endnote>
  <w:endnote w:type="continuationSeparator" w:id="0">
    <w:p w:rsidR="00D57FC1" w:rsidRDefault="00D57FC1">
      <w:r>
        <w:rPr>
          <w:sz w:val="24"/>
        </w:rPr>
        <w:t xml:space="preserve"> </w:t>
      </w:r>
    </w:p>
  </w:endnote>
  <w:endnote w:type="continuationNotice" w:id="1">
    <w:p w:rsidR="00D57FC1" w:rsidRDefault="00D57FC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74" w:rsidRPr="0037080B" w:rsidRDefault="00FC1A74" w:rsidP="0037080B">
    <w:pPr>
      <w:tabs>
        <w:tab w:val="right" w:pos="9356"/>
      </w:tabs>
      <w:rPr>
        <w:sz w:val="18"/>
        <w:szCs w:val="18"/>
      </w:rPr>
    </w:pPr>
  </w:p>
  <w:p w:rsidR="00FC1A74" w:rsidRDefault="00B50B13" w:rsidP="000D6CF4">
    <w:pPr>
      <w:pBdr>
        <w:top w:val="single" w:sz="4" w:space="1" w:color="auto"/>
      </w:pBdr>
      <w:tabs>
        <w:tab w:val="right" w:pos="9356"/>
      </w:tabs>
      <w:rPr>
        <w:rStyle w:val="PageNumber"/>
        <w:sz w:val="18"/>
        <w:szCs w:val="18"/>
      </w:rPr>
    </w:pPr>
    <w:r>
      <w:rPr>
        <w:sz w:val="18"/>
        <w:szCs w:val="18"/>
      </w:rPr>
      <w:t>DPTI</w:t>
    </w:r>
    <w:r w:rsidR="00FC1A74">
      <w:rPr>
        <w:sz w:val="18"/>
        <w:szCs w:val="18"/>
      </w:rPr>
      <w:t xml:space="preserve"> </w:t>
    </w:r>
    <w:r w:rsidR="00FC1A74" w:rsidRPr="0037080B">
      <w:rPr>
        <w:sz w:val="18"/>
        <w:szCs w:val="18"/>
      </w:rPr>
      <w:t>XXCxxx</w:t>
    </w:r>
    <w:r w:rsidR="00FC1A74" w:rsidRPr="0037080B">
      <w:rPr>
        <w:sz w:val="18"/>
        <w:szCs w:val="18"/>
      </w:rPr>
      <w:tab/>
      <w:t xml:space="preserve">Page </w:t>
    </w:r>
    <w:r w:rsidR="00FC1A74" w:rsidRPr="0037080B">
      <w:rPr>
        <w:rStyle w:val="PageNumber"/>
        <w:sz w:val="18"/>
        <w:szCs w:val="18"/>
      </w:rPr>
      <w:fldChar w:fldCharType="begin"/>
    </w:r>
    <w:r w:rsidR="00FC1A74" w:rsidRPr="0037080B">
      <w:rPr>
        <w:rStyle w:val="PageNumber"/>
        <w:sz w:val="18"/>
        <w:szCs w:val="18"/>
      </w:rPr>
      <w:instrText xml:space="preserve"> PAGE </w:instrText>
    </w:r>
    <w:r w:rsidR="00FC1A74" w:rsidRPr="0037080B">
      <w:rPr>
        <w:rStyle w:val="PageNumber"/>
        <w:sz w:val="18"/>
        <w:szCs w:val="18"/>
      </w:rPr>
      <w:fldChar w:fldCharType="separate"/>
    </w:r>
    <w:r w:rsidR="002E443A">
      <w:rPr>
        <w:rStyle w:val="PageNumber"/>
        <w:noProof/>
        <w:sz w:val="18"/>
        <w:szCs w:val="18"/>
      </w:rPr>
      <w:t>6</w:t>
    </w:r>
    <w:r w:rsidR="00FC1A74" w:rsidRPr="0037080B">
      <w:rPr>
        <w:rStyle w:val="PageNumber"/>
        <w:sz w:val="18"/>
        <w:szCs w:val="18"/>
      </w:rPr>
      <w:fldChar w:fldCharType="end"/>
    </w:r>
  </w:p>
  <w:p w:rsidR="00A63740" w:rsidRPr="0037080B" w:rsidRDefault="00A63740" w:rsidP="000D6CF4">
    <w:pPr>
      <w:pBdr>
        <w:top w:val="single" w:sz="4" w:space="1" w:color="auto"/>
      </w:pBdr>
      <w:tabs>
        <w:tab w:val="right" w:pos="9356"/>
      </w:tabs>
      <w:rPr>
        <w:sz w:val="18"/>
        <w:szCs w:val="18"/>
      </w:rPr>
    </w:pPr>
    <w:r>
      <w:rPr>
        <w:rStyle w:val="PageNumber"/>
        <w:sz w:val="18"/>
        <w:szCs w:val="18"/>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FC1" w:rsidRDefault="00D57FC1">
      <w:r>
        <w:rPr>
          <w:sz w:val="24"/>
        </w:rPr>
        <w:separator/>
      </w:r>
    </w:p>
  </w:footnote>
  <w:footnote w:type="continuationSeparator" w:id="0">
    <w:p w:rsidR="00D57FC1" w:rsidRDefault="00D5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74" w:rsidRPr="0037080B" w:rsidRDefault="0059184D">
    <w:pPr>
      <w:tabs>
        <w:tab w:val="right" w:pos="9356"/>
      </w:tabs>
      <w:rPr>
        <w:sz w:val="18"/>
        <w:szCs w:val="18"/>
      </w:rPr>
    </w:pPr>
    <w:r w:rsidRPr="0037080B">
      <w:rPr>
        <w:sz w:val="18"/>
        <w:szCs w:val="18"/>
      </w:rPr>
      <w:t xml:space="preserve">Edition: </w:t>
    </w:r>
    <w:r>
      <w:rPr>
        <w:sz w:val="18"/>
        <w:szCs w:val="18"/>
      </w:rPr>
      <w:t>February 2008</w:t>
    </w:r>
    <w:r w:rsidR="00FC1A74" w:rsidRPr="0037080B">
      <w:rPr>
        <w:sz w:val="18"/>
        <w:szCs w:val="18"/>
      </w:rPr>
      <w:tab/>
      <w:t>Specification</w:t>
    </w:r>
    <w:r w:rsidR="00FC1A74">
      <w:rPr>
        <w:sz w:val="18"/>
        <w:szCs w:val="18"/>
      </w:rPr>
      <w:t>:</w:t>
    </w:r>
    <w:r w:rsidR="00FC1A74" w:rsidRPr="0037080B">
      <w:rPr>
        <w:sz w:val="18"/>
        <w:szCs w:val="18"/>
      </w:rPr>
      <w:t xml:space="preserve"> Part </w:t>
    </w:r>
    <w:r w:rsidR="00A63740">
      <w:rPr>
        <w:sz w:val="18"/>
        <w:szCs w:val="18"/>
      </w:rPr>
      <w:t>R</w:t>
    </w:r>
    <w:r w:rsidR="00FC1A74" w:rsidRPr="0037080B">
      <w:rPr>
        <w:sz w:val="18"/>
        <w:szCs w:val="18"/>
      </w:rPr>
      <w:t>6</w:t>
    </w:r>
    <w:r w:rsidR="00ED1D13">
      <w:rPr>
        <w:sz w:val="18"/>
        <w:szCs w:val="18"/>
      </w:rPr>
      <w:t>7</w:t>
    </w:r>
    <w:r w:rsidR="00AB653C">
      <w:rPr>
        <w:sz w:val="18"/>
        <w:szCs w:val="18"/>
      </w:rPr>
      <w:t xml:space="preserve"> Imaging Equipment</w:t>
    </w:r>
  </w:p>
  <w:p w:rsidR="00FC1A74" w:rsidRPr="0037080B" w:rsidRDefault="00FC1A74">
    <w:pP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74" w:rsidRDefault="00FC1A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08A0"/>
    <w:multiLevelType w:val="hybridMultilevel"/>
    <w:tmpl w:val="10E80CB4"/>
    <w:lvl w:ilvl="0" w:tplc="7FE4F628">
      <w:start w:val="6"/>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30EB5"/>
    <w:multiLevelType w:val="hybridMultilevel"/>
    <w:tmpl w:val="F3F809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8A00B07"/>
    <w:multiLevelType w:val="hybridMultilevel"/>
    <w:tmpl w:val="31E0B022"/>
    <w:lvl w:ilvl="0" w:tplc="6A5CB2FE">
      <w:start w:val="1"/>
      <w:numFmt w:val="lowerLetter"/>
      <w:lvlText w:val="(%1)"/>
      <w:lvlJc w:val="left"/>
      <w:pPr>
        <w:tabs>
          <w:tab w:val="num" w:pos="1080"/>
        </w:tabs>
        <w:ind w:left="1080" w:hanging="72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07711"/>
    <w:multiLevelType w:val="hybridMultilevel"/>
    <w:tmpl w:val="1908A0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64C17"/>
    <w:multiLevelType w:val="hybridMultilevel"/>
    <w:tmpl w:val="887C8F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36993"/>
    <w:multiLevelType w:val="hybridMultilevel"/>
    <w:tmpl w:val="D3B2FE58"/>
    <w:lvl w:ilvl="0" w:tplc="6A5CB2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ED95267"/>
    <w:multiLevelType w:val="hybridMultilevel"/>
    <w:tmpl w:val="FFD2E468"/>
    <w:lvl w:ilvl="0" w:tplc="6A5CB2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BC055B7"/>
    <w:multiLevelType w:val="hybridMultilevel"/>
    <w:tmpl w:val="063A5AB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CD12935"/>
    <w:multiLevelType w:val="hybridMultilevel"/>
    <w:tmpl w:val="44525C7E"/>
    <w:lvl w:ilvl="0" w:tplc="6A5CB2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1CA71C9"/>
    <w:multiLevelType w:val="hybridMultilevel"/>
    <w:tmpl w:val="ECAC1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C7B42"/>
    <w:multiLevelType w:val="hybridMultilevel"/>
    <w:tmpl w:val="ABBCFC0A"/>
    <w:lvl w:ilvl="0" w:tplc="0C090001">
      <w:start w:val="1"/>
      <w:numFmt w:val="bullet"/>
      <w:lvlText w:val=""/>
      <w:lvlJc w:val="left"/>
      <w:pPr>
        <w:tabs>
          <w:tab w:val="num" w:pos="1800"/>
        </w:tabs>
        <w:ind w:left="1800" w:hanging="360"/>
      </w:pPr>
      <w:rPr>
        <w:rFonts w:ascii="Symbol" w:hAnsi="Symbol"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1" w15:restartNumberingAfterBreak="0">
    <w:nsid w:val="2A8F73BC"/>
    <w:multiLevelType w:val="hybridMultilevel"/>
    <w:tmpl w:val="6888A0EC"/>
    <w:lvl w:ilvl="0" w:tplc="6A5CB2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0392CE5"/>
    <w:multiLevelType w:val="hybridMultilevel"/>
    <w:tmpl w:val="0882AEFA"/>
    <w:lvl w:ilvl="0" w:tplc="6A5CB2FE">
      <w:start w:val="1"/>
      <w:numFmt w:val="lowerLetter"/>
      <w:lvlText w:val="(%1)"/>
      <w:lvlJc w:val="left"/>
      <w:pPr>
        <w:tabs>
          <w:tab w:val="num" w:pos="1080"/>
        </w:tabs>
        <w:ind w:left="108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544198"/>
    <w:multiLevelType w:val="hybridMultilevel"/>
    <w:tmpl w:val="44CA5D46"/>
    <w:lvl w:ilvl="0" w:tplc="FFFFFFFF">
      <w:start w:val="1"/>
      <w:numFmt w:val="decimal"/>
      <w:lvlText w:val="(%1)"/>
      <w:lvlJc w:val="left"/>
      <w:pPr>
        <w:tabs>
          <w:tab w:val="num" w:pos="794"/>
        </w:tabs>
        <w:ind w:left="794" w:hanging="434"/>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8A68D2"/>
    <w:multiLevelType w:val="hybridMultilevel"/>
    <w:tmpl w:val="3DBEF99E"/>
    <w:lvl w:ilvl="0" w:tplc="6A5CB2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8A0112F"/>
    <w:multiLevelType w:val="hybridMultilevel"/>
    <w:tmpl w:val="BD8C5C5C"/>
    <w:lvl w:ilvl="0" w:tplc="42FC2910">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3ED83558"/>
    <w:multiLevelType w:val="hybridMultilevel"/>
    <w:tmpl w:val="429490FC"/>
    <w:lvl w:ilvl="0" w:tplc="6A5CB2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1535C47"/>
    <w:multiLevelType w:val="hybridMultilevel"/>
    <w:tmpl w:val="BF98C8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9875A1"/>
    <w:multiLevelType w:val="hybridMultilevel"/>
    <w:tmpl w:val="FB6E41D2"/>
    <w:lvl w:ilvl="0" w:tplc="6A5CB2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DDD5CA7"/>
    <w:multiLevelType w:val="multilevel"/>
    <w:tmpl w:val="31E0B022"/>
    <w:lvl w:ilvl="0">
      <w:start w:val="1"/>
      <w:numFmt w:val="lowerLetter"/>
      <w:lvlText w:val="(%1)"/>
      <w:lvlJc w:val="left"/>
      <w:pPr>
        <w:tabs>
          <w:tab w:val="num" w:pos="1080"/>
        </w:tabs>
        <w:ind w:left="1080" w:hanging="72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072E35"/>
    <w:multiLevelType w:val="multilevel"/>
    <w:tmpl w:val="A30CB1D6"/>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7BE4EBC"/>
    <w:multiLevelType w:val="hybridMultilevel"/>
    <w:tmpl w:val="DC02E12C"/>
    <w:lvl w:ilvl="0" w:tplc="2F9E3B1E">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C3060B"/>
    <w:multiLevelType w:val="multilevel"/>
    <w:tmpl w:val="A30CB1D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55F4625"/>
    <w:multiLevelType w:val="hybridMultilevel"/>
    <w:tmpl w:val="5C7C728A"/>
    <w:lvl w:ilvl="0" w:tplc="6A5CB2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D837987"/>
    <w:multiLevelType w:val="multilevel"/>
    <w:tmpl w:val="A30CB1D6"/>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F8C0EBD"/>
    <w:multiLevelType w:val="hybridMultilevel"/>
    <w:tmpl w:val="3B8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25643"/>
    <w:multiLevelType w:val="hybridMultilevel"/>
    <w:tmpl w:val="0316B542"/>
    <w:lvl w:ilvl="0" w:tplc="6A5CB2FE">
      <w:start w:val="1"/>
      <w:numFmt w:val="lowerLetter"/>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811EDE"/>
    <w:multiLevelType w:val="hybridMultilevel"/>
    <w:tmpl w:val="A94AF8AA"/>
    <w:lvl w:ilvl="0" w:tplc="7FE4F628">
      <w:start w:val="6"/>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5428AF"/>
    <w:multiLevelType w:val="hybridMultilevel"/>
    <w:tmpl w:val="F7309846"/>
    <w:lvl w:ilvl="0" w:tplc="6A5CB2FE">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9" w15:restartNumberingAfterBreak="0">
    <w:nsid w:val="78ED6253"/>
    <w:multiLevelType w:val="hybridMultilevel"/>
    <w:tmpl w:val="F6A00388"/>
    <w:lvl w:ilvl="0" w:tplc="6A5CB2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BD436B3"/>
    <w:multiLevelType w:val="hybridMultilevel"/>
    <w:tmpl w:val="4616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F56A45"/>
    <w:multiLevelType w:val="hybridMultilevel"/>
    <w:tmpl w:val="729C6BC8"/>
    <w:lvl w:ilvl="0" w:tplc="6A5CB2FE">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25"/>
  </w:num>
  <w:num w:numId="4">
    <w:abstractNumId w:val="27"/>
  </w:num>
  <w:num w:numId="5">
    <w:abstractNumId w:val="21"/>
  </w:num>
  <w:num w:numId="6">
    <w:abstractNumId w:val="3"/>
  </w:num>
  <w:num w:numId="7">
    <w:abstractNumId w:val="13"/>
  </w:num>
  <w:num w:numId="8">
    <w:abstractNumId w:val="30"/>
  </w:num>
  <w:num w:numId="9">
    <w:abstractNumId w:val="4"/>
  </w:num>
  <w:num w:numId="10">
    <w:abstractNumId w:val="17"/>
  </w:num>
  <w:num w:numId="11">
    <w:abstractNumId w:val="1"/>
  </w:num>
  <w:num w:numId="12">
    <w:abstractNumId w:val="15"/>
  </w:num>
  <w:num w:numId="13">
    <w:abstractNumId w:val="26"/>
  </w:num>
  <w:num w:numId="14">
    <w:abstractNumId w:val="5"/>
  </w:num>
  <w:num w:numId="15">
    <w:abstractNumId w:val="16"/>
  </w:num>
  <w:num w:numId="16">
    <w:abstractNumId w:val="14"/>
  </w:num>
  <w:num w:numId="17">
    <w:abstractNumId w:val="20"/>
  </w:num>
  <w:num w:numId="18">
    <w:abstractNumId w:val="24"/>
  </w:num>
  <w:num w:numId="19">
    <w:abstractNumId w:val="31"/>
  </w:num>
  <w:num w:numId="20">
    <w:abstractNumId w:val="2"/>
  </w:num>
  <w:num w:numId="21">
    <w:abstractNumId w:val="19"/>
  </w:num>
  <w:num w:numId="22">
    <w:abstractNumId w:val="12"/>
  </w:num>
  <w:num w:numId="23">
    <w:abstractNumId w:val="28"/>
  </w:num>
  <w:num w:numId="24">
    <w:abstractNumId w:val="10"/>
  </w:num>
  <w:num w:numId="25">
    <w:abstractNumId w:val="23"/>
  </w:num>
  <w:num w:numId="26">
    <w:abstractNumId w:val="8"/>
  </w:num>
  <w:num w:numId="27">
    <w:abstractNumId w:val="22"/>
  </w:num>
  <w:num w:numId="28">
    <w:abstractNumId w:val="6"/>
  </w:num>
  <w:num w:numId="29">
    <w:abstractNumId w:val="18"/>
  </w:num>
  <w:num w:numId="30">
    <w:abstractNumId w:val="29"/>
  </w:num>
  <w:num w:numId="31">
    <w:abstractNumId w:val="11"/>
  </w:num>
  <w:num w:numId="3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8D"/>
    <w:rsid w:val="00016240"/>
    <w:rsid w:val="00031843"/>
    <w:rsid w:val="0003515F"/>
    <w:rsid w:val="00085D1E"/>
    <w:rsid w:val="00086696"/>
    <w:rsid w:val="000D021D"/>
    <w:rsid w:val="000D6CF4"/>
    <w:rsid w:val="000D784E"/>
    <w:rsid w:val="00123BC0"/>
    <w:rsid w:val="00154B1E"/>
    <w:rsid w:val="00160E5E"/>
    <w:rsid w:val="00182220"/>
    <w:rsid w:val="001B340C"/>
    <w:rsid w:val="001C2349"/>
    <w:rsid w:val="001C56B0"/>
    <w:rsid w:val="001F3121"/>
    <w:rsid w:val="00206E36"/>
    <w:rsid w:val="00222047"/>
    <w:rsid w:val="00225D9D"/>
    <w:rsid w:val="002A1501"/>
    <w:rsid w:val="002A20F3"/>
    <w:rsid w:val="002E443A"/>
    <w:rsid w:val="00325EAB"/>
    <w:rsid w:val="00337C89"/>
    <w:rsid w:val="0034055B"/>
    <w:rsid w:val="00346253"/>
    <w:rsid w:val="0037080B"/>
    <w:rsid w:val="00371DDE"/>
    <w:rsid w:val="003772E4"/>
    <w:rsid w:val="00384C2D"/>
    <w:rsid w:val="003B7D74"/>
    <w:rsid w:val="003C5E3B"/>
    <w:rsid w:val="003E1625"/>
    <w:rsid w:val="003F1B1A"/>
    <w:rsid w:val="00433DC8"/>
    <w:rsid w:val="00455539"/>
    <w:rsid w:val="00457FB5"/>
    <w:rsid w:val="0046302E"/>
    <w:rsid w:val="004707F6"/>
    <w:rsid w:val="00485406"/>
    <w:rsid w:val="0048670F"/>
    <w:rsid w:val="00487DFC"/>
    <w:rsid w:val="004924B3"/>
    <w:rsid w:val="004A78E9"/>
    <w:rsid w:val="004B28D0"/>
    <w:rsid w:val="004C4E3A"/>
    <w:rsid w:val="00501642"/>
    <w:rsid w:val="00501E54"/>
    <w:rsid w:val="00513A8B"/>
    <w:rsid w:val="0051440B"/>
    <w:rsid w:val="00515E18"/>
    <w:rsid w:val="00520025"/>
    <w:rsid w:val="00550A69"/>
    <w:rsid w:val="0057034C"/>
    <w:rsid w:val="00572FC6"/>
    <w:rsid w:val="0058768D"/>
    <w:rsid w:val="0059184D"/>
    <w:rsid w:val="005A408D"/>
    <w:rsid w:val="005B7C13"/>
    <w:rsid w:val="005D3F89"/>
    <w:rsid w:val="005E4CB9"/>
    <w:rsid w:val="00603EFE"/>
    <w:rsid w:val="00605E87"/>
    <w:rsid w:val="00624F64"/>
    <w:rsid w:val="006331EB"/>
    <w:rsid w:val="0064454B"/>
    <w:rsid w:val="00651C8B"/>
    <w:rsid w:val="00657C57"/>
    <w:rsid w:val="00667A47"/>
    <w:rsid w:val="00683D18"/>
    <w:rsid w:val="006A7A33"/>
    <w:rsid w:val="006B178E"/>
    <w:rsid w:val="006B459D"/>
    <w:rsid w:val="006C127B"/>
    <w:rsid w:val="006D7566"/>
    <w:rsid w:val="006D7B68"/>
    <w:rsid w:val="00713EBF"/>
    <w:rsid w:val="00750CC2"/>
    <w:rsid w:val="00787195"/>
    <w:rsid w:val="00793934"/>
    <w:rsid w:val="007A67FB"/>
    <w:rsid w:val="00826240"/>
    <w:rsid w:val="00834D7C"/>
    <w:rsid w:val="00885526"/>
    <w:rsid w:val="008979EE"/>
    <w:rsid w:val="008C1F49"/>
    <w:rsid w:val="008D2920"/>
    <w:rsid w:val="008E108E"/>
    <w:rsid w:val="008E634A"/>
    <w:rsid w:val="00900E91"/>
    <w:rsid w:val="00910B01"/>
    <w:rsid w:val="009144EF"/>
    <w:rsid w:val="009334FA"/>
    <w:rsid w:val="00970560"/>
    <w:rsid w:val="00983B18"/>
    <w:rsid w:val="00995EFB"/>
    <w:rsid w:val="009970CF"/>
    <w:rsid w:val="009B4BF0"/>
    <w:rsid w:val="009B5EC0"/>
    <w:rsid w:val="009B683D"/>
    <w:rsid w:val="00A13F19"/>
    <w:rsid w:val="00A171C3"/>
    <w:rsid w:val="00A22EE9"/>
    <w:rsid w:val="00A26BB0"/>
    <w:rsid w:val="00A520F0"/>
    <w:rsid w:val="00A63740"/>
    <w:rsid w:val="00A946C5"/>
    <w:rsid w:val="00AB1189"/>
    <w:rsid w:val="00AB1D44"/>
    <w:rsid w:val="00AB62C9"/>
    <w:rsid w:val="00AB653C"/>
    <w:rsid w:val="00AC3340"/>
    <w:rsid w:val="00AC568A"/>
    <w:rsid w:val="00AE7F76"/>
    <w:rsid w:val="00AF5C18"/>
    <w:rsid w:val="00B0729C"/>
    <w:rsid w:val="00B225B6"/>
    <w:rsid w:val="00B3099E"/>
    <w:rsid w:val="00B36883"/>
    <w:rsid w:val="00B50B13"/>
    <w:rsid w:val="00B606D4"/>
    <w:rsid w:val="00B7457D"/>
    <w:rsid w:val="00BA2CA4"/>
    <w:rsid w:val="00BA4486"/>
    <w:rsid w:val="00BE21D0"/>
    <w:rsid w:val="00BF64F6"/>
    <w:rsid w:val="00C11635"/>
    <w:rsid w:val="00C12B7A"/>
    <w:rsid w:val="00C15FC5"/>
    <w:rsid w:val="00C52235"/>
    <w:rsid w:val="00C62E34"/>
    <w:rsid w:val="00C77D51"/>
    <w:rsid w:val="00C851CF"/>
    <w:rsid w:val="00CA6837"/>
    <w:rsid w:val="00CB2B03"/>
    <w:rsid w:val="00CC3B67"/>
    <w:rsid w:val="00CD7B67"/>
    <w:rsid w:val="00D01F8A"/>
    <w:rsid w:val="00D21E01"/>
    <w:rsid w:val="00D351AF"/>
    <w:rsid w:val="00D477D8"/>
    <w:rsid w:val="00D54EC2"/>
    <w:rsid w:val="00D54FA2"/>
    <w:rsid w:val="00D57FC1"/>
    <w:rsid w:val="00D6571A"/>
    <w:rsid w:val="00D9028F"/>
    <w:rsid w:val="00D90D7F"/>
    <w:rsid w:val="00DB5A7C"/>
    <w:rsid w:val="00DB6B0F"/>
    <w:rsid w:val="00DC52A3"/>
    <w:rsid w:val="00DD7A37"/>
    <w:rsid w:val="00DE77D8"/>
    <w:rsid w:val="00DF1669"/>
    <w:rsid w:val="00E026B5"/>
    <w:rsid w:val="00E11155"/>
    <w:rsid w:val="00E174E0"/>
    <w:rsid w:val="00E4116E"/>
    <w:rsid w:val="00E45510"/>
    <w:rsid w:val="00E47AAC"/>
    <w:rsid w:val="00E7549F"/>
    <w:rsid w:val="00E81EED"/>
    <w:rsid w:val="00E95AB9"/>
    <w:rsid w:val="00E95ADF"/>
    <w:rsid w:val="00EB7955"/>
    <w:rsid w:val="00EC3761"/>
    <w:rsid w:val="00ED1D13"/>
    <w:rsid w:val="00EE45E1"/>
    <w:rsid w:val="00F06AA0"/>
    <w:rsid w:val="00F15CBB"/>
    <w:rsid w:val="00F33415"/>
    <w:rsid w:val="00F4497B"/>
    <w:rsid w:val="00F51834"/>
    <w:rsid w:val="00F61D65"/>
    <w:rsid w:val="00F84534"/>
    <w:rsid w:val="00FC1A74"/>
    <w:rsid w:val="00FF0703"/>
    <w:rsid w:val="00FF4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15:chartTrackingRefBased/>
  <w15:docId w15:val="{152C9369-5F05-4424-8DAB-EC9BE9A0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eastAsia="en-US"/>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Heading2"/>
    <w:next w:val="Normal"/>
    <w:qFormat/>
    <w:pPr>
      <w:keepLines/>
      <w:tabs>
        <w:tab w:val="left" w:pos="1134"/>
        <w:tab w:val="left" w:pos="1701"/>
      </w:tabs>
      <w:spacing w:before="200" w:after="200"/>
      <w:ind w:left="1134" w:hanging="1134"/>
      <w:jc w:val="left"/>
      <w:outlineLvl w:val="2"/>
    </w:pPr>
    <w:rPr>
      <w:rFonts w:cs="Times New Roman"/>
      <w:b w:val="0"/>
      <w:bCs w:val="0"/>
      <w:i w:val="0"/>
      <w:iCs w:val="0"/>
      <w:caps/>
      <w:sz w:val="20"/>
      <w:szCs w:val="20"/>
    </w:rPr>
  </w:style>
  <w:style w:type="paragraph" w:styleId="Heading4">
    <w:name w:val="heading 4"/>
    <w:basedOn w:val="Normal"/>
    <w:next w:val="Normal"/>
    <w:qFormat/>
    <w:pPr>
      <w:keepNext/>
      <w:jc w:val="left"/>
      <w:outlineLvl w:val="3"/>
    </w:pPr>
    <w:rPr>
      <w:sz w:val="28"/>
    </w:rPr>
  </w:style>
  <w:style w:type="paragraph" w:styleId="Heading9">
    <w:name w:val="heading 9"/>
    <w:basedOn w:val="Normal"/>
    <w:next w:val="Normal"/>
    <w:qFormat/>
    <w:pPr>
      <w:keepNext/>
      <w:suppressAutoHyphens/>
      <w:jc w:val="center"/>
      <w:outlineLvl w:val="8"/>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nderText">
    <w:name w:val="Tender Text"/>
    <w:basedOn w:val="Normal"/>
    <w:link w:val="TenderTextChar"/>
    <w:pPr>
      <w:suppressAutoHyphens/>
    </w:pPr>
    <w:rPr>
      <w:sz w:val="22"/>
    </w:rPr>
  </w:style>
  <w:style w:type="character" w:styleId="PageNumber">
    <w:name w:val="page number"/>
    <w:basedOn w:val="DefaultParagraphFont"/>
    <w:rsid w:val="0037080B"/>
  </w:style>
  <w:style w:type="character" w:styleId="CommentReference">
    <w:name w:val="annotation reference"/>
    <w:basedOn w:val="DefaultParagraphFont"/>
    <w:semiHidden/>
    <w:rsid w:val="00B3099E"/>
    <w:rPr>
      <w:sz w:val="16"/>
      <w:szCs w:val="16"/>
    </w:rPr>
  </w:style>
  <w:style w:type="paragraph" w:styleId="CommentText">
    <w:name w:val="annotation text"/>
    <w:basedOn w:val="Normal"/>
    <w:semiHidden/>
    <w:rsid w:val="00B3099E"/>
    <w:pPr>
      <w:keepLines/>
    </w:pPr>
  </w:style>
  <w:style w:type="paragraph" w:styleId="BalloonText">
    <w:name w:val="Balloon Text"/>
    <w:basedOn w:val="Normal"/>
    <w:semiHidden/>
    <w:rsid w:val="00B3099E"/>
    <w:rPr>
      <w:rFonts w:ascii="Tahoma" w:hAnsi="Tahoma" w:cs="Tahoma"/>
      <w:sz w:val="16"/>
      <w:szCs w:val="16"/>
    </w:rPr>
  </w:style>
  <w:style w:type="table" w:styleId="TableGrid">
    <w:name w:val="Table Grid"/>
    <w:basedOn w:val="TableNormal"/>
    <w:rsid w:val="00DB5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05E87"/>
    <w:rPr>
      <w:strike w:val="0"/>
      <w:dstrike w:val="0"/>
      <w:color w:val="0532A5"/>
      <w:u w:val="none"/>
      <w:effect w:val="none"/>
    </w:rPr>
  </w:style>
  <w:style w:type="paragraph" w:customStyle="1" w:styleId="Tendertext0">
    <w:name w:val="Tender text"/>
    <w:basedOn w:val="Normal"/>
    <w:rsid w:val="005D3F89"/>
    <w:pPr>
      <w:tabs>
        <w:tab w:val="left" w:pos="-720"/>
      </w:tabs>
      <w:suppressAutoHyphens/>
    </w:pPr>
    <w:rPr>
      <w:szCs w:val="24"/>
    </w:rPr>
  </w:style>
  <w:style w:type="character" w:customStyle="1" w:styleId="TenderTextChar">
    <w:name w:val="Tender Text Char"/>
    <w:basedOn w:val="DefaultParagraphFont"/>
    <w:link w:val="TenderText"/>
    <w:rsid w:val="003F1B1A"/>
    <w:rPr>
      <w:sz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DPTI</cp:lastModifiedBy>
  <cp:revision>2</cp:revision>
  <cp:lastPrinted>2008-01-09T05:03:00Z</cp:lastPrinted>
  <dcterms:created xsi:type="dcterms:W3CDTF">2016-04-26T05:31:00Z</dcterms:created>
  <dcterms:modified xsi:type="dcterms:W3CDTF">2016-04-26T05:31:00Z</dcterms:modified>
</cp:coreProperties>
</file>