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37" w:rsidRPr="00B97B10" w:rsidRDefault="00DD5537" w:rsidP="00B97B10">
      <w:pPr>
        <w:pStyle w:val="BodyText"/>
        <w:rPr>
          <w:b/>
          <w:sz w:val="28"/>
          <w:szCs w:val="28"/>
        </w:rPr>
      </w:pPr>
      <w:bookmarkStart w:id="0" w:name="_Toc291745068"/>
      <w:bookmarkStart w:id="1" w:name="_Toc525991794"/>
      <w:r w:rsidRPr="00B97B10">
        <w:rPr>
          <w:b/>
          <w:sz w:val="28"/>
          <w:szCs w:val="28"/>
        </w:rPr>
        <w:t>FACILITIES PLANNING STUDY</w:t>
      </w:r>
    </w:p>
    <w:p w:rsidR="00DD5537" w:rsidRPr="00B97B10" w:rsidRDefault="00DD5537" w:rsidP="00B97B10">
      <w:pPr>
        <w:pStyle w:val="BodyText"/>
        <w:rPr>
          <w:b/>
          <w:sz w:val="28"/>
          <w:szCs w:val="28"/>
        </w:rPr>
      </w:pPr>
      <w:r w:rsidRPr="00B97B10">
        <w:rPr>
          <w:b/>
          <w:sz w:val="28"/>
          <w:szCs w:val="28"/>
        </w:rPr>
        <w:t xml:space="preserve">SCHEDULES 1 – </w:t>
      </w:r>
      <w:bookmarkEnd w:id="0"/>
      <w:r w:rsidR="00D44905">
        <w:rPr>
          <w:b/>
          <w:sz w:val="28"/>
          <w:szCs w:val="28"/>
        </w:rPr>
        <w:t>2</w:t>
      </w:r>
    </w:p>
    <w:p w:rsidR="00B97B10" w:rsidRDefault="00B97B10" w:rsidP="00B97B10">
      <w:pPr>
        <w:pStyle w:val="BodyText"/>
      </w:pPr>
    </w:p>
    <w:p w:rsidR="00DD5537" w:rsidRDefault="00DD5537" w:rsidP="00B97B10">
      <w:pPr>
        <w:pStyle w:val="BodyText"/>
        <w:rPr>
          <w:b/>
          <w:sz w:val="28"/>
          <w:szCs w:val="28"/>
        </w:rPr>
      </w:pPr>
      <w:r w:rsidRPr="00B97B10">
        <w:rPr>
          <w:b/>
          <w:sz w:val="28"/>
          <w:szCs w:val="28"/>
        </w:rPr>
        <w:t>Contents</w:t>
      </w:r>
    </w:p>
    <w:p w:rsidR="00FD18B6" w:rsidRDefault="00B97B10">
      <w:pPr>
        <w:pStyle w:val="TOC1"/>
        <w:tabs>
          <w:tab w:val="left" w:pos="1540"/>
        </w:tabs>
        <w:rPr>
          <w:rFonts w:asciiTheme="minorHAnsi" w:eastAsiaTheme="minorEastAsia" w:hAnsiTheme="minorHAnsi" w:cstheme="minorBidi"/>
          <w:b w:val="0"/>
          <w:noProof/>
          <w:lang w:val="en-US"/>
        </w:rPr>
      </w:pPr>
      <w:r>
        <w:rPr>
          <w:b w:val="0"/>
          <w:sz w:val="28"/>
          <w:szCs w:val="28"/>
        </w:rPr>
        <w:fldChar w:fldCharType="begin"/>
      </w:r>
      <w:r>
        <w:rPr>
          <w:b w:val="0"/>
          <w:sz w:val="28"/>
          <w:szCs w:val="28"/>
        </w:rPr>
        <w:instrText xml:space="preserve"> TOC \o "1-2" \u </w:instrText>
      </w:r>
      <w:r>
        <w:rPr>
          <w:b w:val="0"/>
          <w:sz w:val="28"/>
          <w:szCs w:val="28"/>
        </w:rPr>
        <w:fldChar w:fldCharType="separate"/>
      </w:r>
      <w:r w:rsidR="00FD18B6" w:rsidRPr="00236C54">
        <w:rPr>
          <w:rFonts w:ascii="Arial Bold" w:hAnsi="Arial Bold" w:cs="Times New Roman"/>
          <w:noProof/>
        </w:rPr>
        <w:t>Schedule 1</w:t>
      </w:r>
      <w:r w:rsidR="00FD18B6">
        <w:rPr>
          <w:rFonts w:asciiTheme="minorHAnsi" w:eastAsiaTheme="minorEastAsia" w:hAnsiTheme="minorHAnsi" w:cstheme="minorBidi"/>
          <w:b w:val="0"/>
          <w:noProof/>
          <w:lang w:val="en-US"/>
        </w:rPr>
        <w:tab/>
      </w:r>
      <w:r w:rsidR="00FD18B6">
        <w:rPr>
          <w:noProof/>
        </w:rPr>
        <w:t>SERVICES – GENERAL</w:t>
      </w:r>
      <w:r w:rsidR="00FD18B6">
        <w:rPr>
          <w:noProof/>
        </w:rPr>
        <w:tab/>
      </w:r>
      <w:r w:rsidR="00FD18B6">
        <w:rPr>
          <w:noProof/>
        </w:rPr>
        <w:fldChar w:fldCharType="begin"/>
      </w:r>
      <w:r w:rsidR="00FD18B6">
        <w:rPr>
          <w:noProof/>
        </w:rPr>
        <w:instrText xml:space="preserve"> PAGEREF _Toc388515618 \h </w:instrText>
      </w:r>
      <w:r w:rsidR="005A6C50">
        <w:rPr>
          <w:noProof/>
        </w:rPr>
      </w:r>
      <w:r w:rsidR="00FD18B6">
        <w:rPr>
          <w:noProof/>
        </w:rPr>
        <w:fldChar w:fldCharType="separate"/>
      </w:r>
      <w:r w:rsidR="00FD18B6">
        <w:rPr>
          <w:noProof/>
        </w:rPr>
        <w:t>2</w:t>
      </w:r>
      <w:r w:rsidR="00FD18B6">
        <w:rPr>
          <w:noProof/>
        </w:rP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1.1</w:t>
      </w:r>
      <w:r>
        <w:rPr>
          <w:rFonts w:asciiTheme="minorHAnsi" w:eastAsiaTheme="minorEastAsia" w:hAnsiTheme="minorHAnsi" w:cstheme="minorBidi"/>
          <w:lang w:val="en-US"/>
        </w:rPr>
        <w:tab/>
      </w:r>
      <w:r>
        <w:t>Terminology</w:t>
      </w:r>
      <w:r>
        <w:tab/>
      </w:r>
      <w:r>
        <w:fldChar w:fldCharType="begin"/>
      </w:r>
      <w:r>
        <w:instrText xml:space="preserve"> PAGEREF _Toc388515619 \h </w:instrText>
      </w:r>
      <w:r>
        <w:fldChar w:fldCharType="separate"/>
      </w:r>
      <w:r>
        <w:t>2</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1.2</w:t>
      </w:r>
      <w:r>
        <w:rPr>
          <w:rFonts w:asciiTheme="minorHAnsi" w:eastAsiaTheme="minorEastAsia" w:hAnsiTheme="minorHAnsi" w:cstheme="minorBidi"/>
          <w:lang w:val="en-US"/>
        </w:rPr>
        <w:tab/>
      </w:r>
      <w:r>
        <w:t>Services</w:t>
      </w:r>
      <w:r>
        <w:tab/>
      </w:r>
      <w:r>
        <w:fldChar w:fldCharType="begin"/>
      </w:r>
      <w:r>
        <w:instrText xml:space="preserve"> PAGEREF _Toc388515620 \h </w:instrText>
      </w:r>
      <w:r>
        <w:fldChar w:fldCharType="separate"/>
      </w:r>
      <w:r>
        <w:t>2</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1.3</w:t>
      </w:r>
      <w:r>
        <w:rPr>
          <w:rFonts w:asciiTheme="minorHAnsi" w:eastAsiaTheme="minorEastAsia" w:hAnsiTheme="minorHAnsi" w:cstheme="minorBidi"/>
          <w:lang w:val="en-US"/>
        </w:rPr>
        <w:tab/>
      </w:r>
      <w:r>
        <w:t>Contract Price – Fees and Disbursements</w:t>
      </w:r>
      <w:r>
        <w:tab/>
      </w:r>
      <w:r>
        <w:fldChar w:fldCharType="begin"/>
      </w:r>
      <w:r>
        <w:instrText xml:space="preserve"> PAGEREF _Toc388515621 \h </w:instrText>
      </w:r>
      <w:r>
        <w:fldChar w:fldCharType="separate"/>
      </w:r>
      <w:r>
        <w:t>2</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1.4</w:t>
      </w:r>
      <w:r>
        <w:rPr>
          <w:rFonts w:asciiTheme="minorHAnsi" w:eastAsiaTheme="minorEastAsia" w:hAnsiTheme="minorHAnsi" w:cstheme="minorBidi"/>
          <w:lang w:val="en-US"/>
        </w:rPr>
        <w:tab/>
      </w:r>
      <w:r>
        <w:t>Contract Material</w:t>
      </w:r>
      <w:r>
        <w:tab/>
      </w:r>
      <w:r>
        <w:fldChar w:fldCharType="begin"/>
      </w:r>
      <w:r>
        <w:instrText xml:space="preserve"> PAGEREF _Toc388515622 \h </w:instrText>
      </w:r>
      <w:r>
        <w:fldChar w:fldCharType="separate"/>
      </w:r>
      <w:r>
        <w:t>2</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1.5</w:t>
      </w:r>
      <w:r>
        <w:rPr>
          <w:rFonts w:asciiTheme="minorHAnsi" w:eastAsiaTheme="minorEastAsia" w:hAnsiTheme="minorHAnsi" w:cstheme="minorBidi"/>
          <w:lang w:val="en-US"/>
        </w:rPr>
        <w:tab/>
      </w:r>
      <w:r>
        <w:t>DPTI Publications, Policies and Guidenotes</w:t>
      </w:r>
      <w:r>
        <w:tab/>
      </w:r>
      <w:r>
        <w:fldChar w:fldCharType="begin"/>
      </w:r>
      <w:r>
        <w:instrText xml:space="preserve"> PAGEREF _Toc388515623 \h </w:instrText>
      </w:r>
      <w:r>
        <w:fldChar w:fldCharType="separate"/>
      </w:r>
      <w:r>
        <w:t>2</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1.6</w:t>
      </w:r>
      <w:r>
        <w:rPr>
          <w:rFonts w:asciiTheme="minorHAnsi" w:eastAsiaTheme="minorEastAsia" w:hAnsiTheme="minorHAnsi" w:cstheme="minorBidi"/>
          <w:lang w:val="en-US"/>
        </w:rPr>
        <w:tab/>
      </w:r>
      <w:r>
        <w:t>Site Investigation</w:t>
      </w:r>
      <w:r>
        <w:tab/>
      </w:r>
      <w:r>
        <w:fldChar w:fldCharType="begin"/>
      </w:r>
      <w:r>
        <w:instrText xml:space="preserve"> PAGEREF _Toc388515624 \h </w:instrText>
      </w:r>
      <w:r>
        <w:fldChar w:fldCharType="separate"/>
      </w:r>
      <w:r>
        <w:t>3</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1.7</w:t>
      </w:r>
      <w:r>
        <w:rPr>
          <w:rFonts w:asciiTheme="minorHAnsi" w:eastAsiaTheme="minorEastAsia" w:hAnsiTheme="minorHAnsi" w:cstheme="minorBidi"/>
          <w:lang w:val="en-US"/>
        </w:rPr>
        <w:tab/>
      </w:r>
      <w:r>
        <w:t>Facilities Planning Services</w:t>
      </w:r>
      <w:r>
        <w:tab/>
      </w:r>
      <w:r>
        <w:fldChar w:fldCharType="begin"/>
      </w:r>
      <w:r>
        <w:instrText xml:space="preserve"> PAGEREF _Toc388515625 \h </w:instrText>
      </w:r>
      <w:r>
        <w:fldChar w:fldCharType="separate"/>
      </w:r>
      <w:r>
        <w:t>3</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1.8</w:t>
      </w:r>
      <w:r>
        <w:rPr>
          <w:rFonts w:asciiTheme="minorHAnsi" w:eastAsiaTheme="minorEastAsia" w:hAnsiTheme="minorHAnsi" w:cstheme="minorBidi"/>
          <w:lang w:val="en-US"/>
        </w:rPr>
        <w:tab/>
      </w:r>
      <w:r>
        <w:t>Subcontractors</w:t>
      </w:r>
      <w:r>
        <w:tab/>
      </w:r>
      <w:r>
        <w:fldChar w:fldCharType="begin"/>
      </w:r>
      <w:r>
        <w:instrText xml:space="preserve"> PAGEREF _Toc388515626 \h </w:instrText>
      </w:r>
      <w:r>
        <w:fldChar w:fldCharType="separate"/>
      </w:r>
      <w:r>
        <w:t>4</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1.9</w:t>
      </w:r>
      <w:r>
        <w:rPr>
          <w:rFonts w:asciiTheme="minorHAnsi" w:eastAsiaTheme="minorEastAsia" w:hAnsiTheme="minorHAnsi" w:cstheme="minorBidi"/>
          <w:lang w:val="en-US"/>
        </w:rPr>
        <w:tab/>
      </w:r>
      <w:r>
        <w:t>Cost Management</w:t>
      </w:r>
      <w:r>
        <w:tab/>
      </w:r>
      <w:r>
        <w:fldChar w:fldCharType="begin"/>
      </w:r>
      <w:r>
        <w:instrText xml:space="preserve"> PAGEREF _Toc388515627 \h </w:instrText>
      </w:r>
      <w:r>
        <w:fldChar w:fldCharType="separate"/>
      </w:r>
      <w:r>
        <w:t>4</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1.10</w:t>
      </w:r>
      <w:r>
        <w:rPr>
          <w:rFonts w:asciiTheme="minorHAnsi" w:eastAsiaTheme="minorEastAsia" w:hAnsiTheme="minorHAnsi" w:cstheme="minorBidi"/>
          <w:lang w:val="en-US"/>
        </w:rPr>
        <w:tab/>
      </w:r>
      <w:r>
        <w:t>Services Program</w:t>
      </w:r>
      <w:r>
        <w:tab/>
      </w:r>
      <w:r>
        <w:fldChar w:fldCharType="begin"/>
      </w:r>
      <w:r>
        <w:instrText xml:space="preserve"> PAGEREF _Toc388515628 \h </w:instrText>
      </w:r>
      <w:r>
        <w:fldChar w:fldCharType="separate"/>
      </w:r>
      <w:r>
        <w:t>4</w:t>
      </w:r>
      <w:r>
        <w:fldChar w:fldCharType="end"/>
      </w:r>
    </w:p>
    <w:p w:rsidR="00FD18B6" w:rsidRDefault="00FD18B6">
      <w:pPr>
        <w:pStyle w:val="TOC1"/>
        <w:tabs>
          <w:tab w:val="left" w:pos="1540"/>
        </w:tabs>
        <w:rPr>
          <w:rFonts w:asciiTheme="minorHAnsi" w:eastAsiaTheme="minorEastAsia" w:hAnsiTheme="minorHAnsi" w:cstheme="minorBidi"/>
          <w:b w:val="0"/>
          <w:noProof/>
          <w:lang w:val="en-US"/>
        </w:rPr>
      </w:pPr>
      <w:r w:rsidRPr="00236C54">
        <w:rPr>
          <w:rFonts w:ascii="Arial Bold" w:hAnsi="Arial Bold" w:cs="Times New Roman"/>
          <w:noProof/>
        </w:rPr>
        <w:t>Schedule 2</w:t>
      </w:r>
      <w:r>
        <w:rPr>
          <w:rFonts w:asciiTheme="minorHAnsi" w:eastAsiaTheme="minorEastAsia" w:hAnsiTheme="minorHAnsi" w:cstheme="minorBidi"/>
          <w:b w:val="0"/>
          <w:noProof/>
          <w:lang w:val="en-US"/>
        </w:rPr>
        <w:tab/>
      </w:r>
      <w:r>
        <w:rPr>
          <w:noProof/>
        </w:rPr>
        <w:t>PROJECT DETAILS</w:t>
      </w:r>
      <w:r>
        <w:rPr>
          <w:noProof/>
        </w:rPr>
        <w:tab/>
      </w:r>
      <w:r>
        <w:rPr>
          <w:noProof/>
        </w:rPr>
        <w:fldChar w:fldCharType="begin"/>
      </w:r>
      <w:r>
        <w:rPr>
          <w:noProof/>
        </w:rPr>
        <w:instrText xml:space="preserve"> PAGEREF _Toc388515629 \h </w:instrText>
      </w:r>
      <w:r w:rsidR="005A6C50">
        <w:rPr>
          <w:noProof/>
        </w:rPr>
      </w:r>
      <w:r>
        <w:rPr>
          <w:noProof/>
        </w:rPr>
        <w:fldChar w:fldCharType="separate"/>
      </w:r>
      <w:r>
        <w:rPr>
          <w:noProof/>
        </w:rPr>
        <w:t>5</w:t>
      </w:r>
      <w:r>
        <w:rPr>
          <w:noProof/>
        </w:rP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2.1</w:t>
      </w:r>
      <w:r>
        <w:rPr>
          <w:rFonts w:asciiTheme="minorHAnsi" w:eastAsiaTheme="minorEastAsia" w:hAnsiTheme="minorHAnsi" w:cstheme="minorBidi"/>
          <w:lang w:val="en-US"/>
        </w:rPr>
        <w:tab/>
      </w:r>
      <w:r>
        <w:t>Terminology</w:t>
      </w:r>
      <w:r>
        <w:tab/>
      </w:r>
      <w:r>
        <w:fldChar w:fldCharType="begin"/>
      </w:r>
      <w:r>
        <w:instrText xml:space="preserve"> PAGEREF _Toc388515630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2.2</w:t>
      </w:r>
      <w:r>
        <w:rPr>
          <w:rFonts w:asciiTheme="minorHAnsi" w:eastAsiaTheme="minorEastAsia" w:hAnsiTheme="minorHAnsi" w:cstheme="minorBidi"/>
          <w:lang w:val="en-US"/>
        </w:rPr>
        <w:tab/>
      </w:r>
      <w:r>
        <w:t>Project Description and Scope</w:t>
      </w:r>
      <w:r>
        <w:tab/>
      </w:r>
      <w:r>
        <w:fldChar w:fldCharType="begin"/>
      </w:r>
      <w:r>
        <w:instrText xml:space="preserve"> PAGEREF _Toc388515631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2.3</w:t>
      </w:r>
      <w:r>
        <w:rPr>
          <w:rFonts w:asciiTheme="minorHAnsi" w:eastAsiaTheme="minorEastAsia" w:hAnsiTheme="minorHAnsi" w:cstheme="minorBidi"/>
          <w:lang w:val="en-US"/>
        </w:rPr>
        <w:tab/>
      </w:r>
      <w:r>
        <w:t>Project Objectives</w:t>
      </w:r>
      <w:r>
        <w:tab/>
      </w:r>
      <w:r>
        <w:fldChar w:fldCharType="begin"/>
      </w:r>
      <w:r>
        <w:instrText xml:space="preserve"> PAGEREF _Toc388515632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2.4</w:t>
      </w:r>
      <w:r>
        <w:rPr>
          <w:rFonts w:asciiTheme="minorHAnsi" w:eastAsiaTheme="minorEastAsia" w:hAnsiTheme="minorHAnsi" w:cstheme="minorBidi"/>
          <w:lang w:val="en-US"/>
        </w:rPr>
        <w:tab/>
      </w:r>
      <w:r>
        <w:t>Current Status</w:t>
      </w:r>
      <w:r>
        <w:tab/>
      </w:r>
      <w:r>
        <w:fldChar w:fldCharType="begin"/>
      </w:r>
      <w:r>
        <w:instrText xml:space="preserve"> PAGEREF _Toc388515633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2.5</w:t>
      </w:r>
      <w:r>
        <w:rPr>
          <w:rFonts w:asciiTheme="minorHAnsi" w:eastAsiaTheme="minorEastAsia" w:hAnsiTheme="minorHAnsi" w:cstheme="minorBidi"/>
          <w:lang w:val="en-US"/>
        </w:rPr>
        <w:tab/>
      </w:r>
      <w:r>
        <w:t>Budget</w:t>
      </w:r>
      <w:r>
        <w:tab/>
      </w:r>
      <w:r>
        <w:fldChar w:fldCharType="begin"/>
      </w:r>
      <w:r>
        <w:instrText xml:space="preserve"> PAGEREF _Toc388515634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2.6</w:t>
      </w:r>
      <w:r>
        <w:rPr>
          <w:rFonts w:asciiTheme="minorHAnsi" w:eastAsiaTheme="minorEastAsia" w:hAnsiTheme="minorHAnsi" w:cstheme="minorBidi"/>
          <w:lang w:val="en-US"/>
        </w:rPr>
        <w:tab/>
      </w:r>
      <w:r>
        <w:t>Program</w:t>
      </w:r>
      <w:r>
        <w:tab/>
      </w:r>
      <w:r>
        <w:fldChar w:fldCharType="begin"/>
      </w:r>
      <w:r>
        <w:instrText xml:space="preserve"> PAGEREF _Toc388515635 \h </w:instrText>
      </w:r>
      <w:r>
        <w:fldChar w:fldCharType="separate"/>
      </w:r>
      <w:r>
        <w:t>5</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2.7</w:t>
      </w:r>
      <w:r>
        <w:rPr>
          <w:rFonts w:asciiTheme="minorHAnsi" w:eastAsiaTheme="minorEastAsia" w:hAnsiTheme="minorHAnsi" w:cstheme="minorBidi"/>
          <w:lang w:val="en-US"/>
        </w:rPr>
        <w:tab/>
      </w:r>
      <w:r>
        <w:t>Project Organisation</w:t>
      </w:r>
      <w:r>
        <w:tab/>
      </w:r>
      <w:r>
        <w:fldChar w:fldCharType="begin"/>
      </w:r>
      <w:r>
        <w:instrText xml:space="preserve"> PAGEREF _Toc388515636 \h </w:instrText>
      </w:r>
      <w:r>
        <w:fldChar w:fldCharType="separate"/>
      </w:r>
      <w:r>
        <w:t>6</w:t>
      </w:r>
      <w:r>
        <w:fldChar w:fldCharType="end"/>
      </w:r>
    </w:p>
    <w:p w:rsidR="00FD18B6" w:rsidRDefault="00FD18B6">
      <w:pPr>
        <w:pStyle w:val="TOC2"/>
        <w:rPr>
          <w:rFonts w:asciiTheme="minorHAnsi" w:eastAsiaTheme="minorEastAsia" w:hAnsiTheme="minorHAnsi" w:cstheme="minorBidi"/>
          <w:lang w:val="en-US"/>
        </w:rPr>
      </w:pPr>
      <w:r w:rsidRPr="00236C54">
        <w:rPr>
          <w:rFonts w:cs="Times New Roman"/>
        </w:rPr>
        <w:t>2.8</w:t>
      </w:r>
      <w:r>
        <w:rPr>
          <w:rFonts w:asciiTheme="minorHAnsi" w:eastAsiaTheme="minorEastAsia" w:hAnsiTheme="minorHAnsi" w:cstheme="minorBidi"/>
          <w:lang w:val="en-US"/>
        </w:rPr>
        <w:tab/>
      </w:r>
      <w:r>
        <w:t>Role of DPTI</w:t>
      </w:r>
      <w:r>
        <w:tab/>
      </w:r>
      <w:r>
        <w:fldChar w:fldCharType="begin"/>
      </w:r>
      <w:r>
        <w:instrText xml:space="preserve"> PAGEREF _Toc388515637 \h </w:instrText>
      </w:r>
      <w:r>
        <w:fldChar w:fldCharType="separate"/>
      </w:r>
      <w:r>
        <w:t>6</w:t>
      </w:r>
      <w:r>
        <w:fldChar w:fldCharType="end"/>
      </w:r>
    </w:p>
    <w:p w:rsidR="00B97B10" w:rsidRPr="00B97B10" w:rsidRDefault="00B97B10" w:rsidP="00B97B10">
      <w:pPr>
        <w:pStyle w:val="BodyText"/>
        <w:rPr>
          <w:b/>
          <w:sz w:val="28"/>
          <w:szCs w:val="28"/>
        </w:rPr>
      </w:pPr>
      <w:r>
        <w:rPr>
          <w:b/>
          <w:sz w:val="28"/>
          <w:szCs w:val="28"/>
        </w:rPr>
        <w:fldChar w:fldCharType="end"/>
      </w:r>
    </w:p>
    <w:p w:rsidR="00DD5537" w:rsidRPr="00B97B10" w:rsidRDefault="00AE39B0" w:rsidP="00B97B10">
      <w:pPr>
        <w:pStyle w:val="Heading1"/>
      </w:pPr>
      <w:bookmarkStart w:id="2" w:name="_Toc332905946"/>
      <w:bookmarkStart w:id="3" w:name="_Toc388515618"/>
      <w:bookmarkStart w:id="4" w:name="_Toc522510664"/>
      <w:bookmarkStart w:id="5" w:name="_Toc524436660"/>
      <w:bookmarkStart w:id="6" w:name="_Toc524436790"/>
      <w:bookmarkStart w:id="7" w:name="_Toc525991795"/>
      <w:bookmarkStart w:id="8" w:name="_Toc504314500"/>
      <w:bookmarkStart w:id="9" w:name="_Toc504317643"/>
      <w:bookmarkStart w:id="10" w:name="_Toc504555385"/>
      <w:bookmarkStart w:id="11" w:name="_Toc521840893"/>
      <w:bookmarkStart w:id="12" w:name="_Toc522510665"/>
      <w:bookmarkStart w:id="13" w:name="_Toc524436661"/>
      <w:bookmarkStart w:id="14" w:name="_Toc524436791"/>
      <w:bookmarkStart w:id="15" w:name="_Toc525991796"/>
      <w:bookmarkEnd w:id="1"/>
      <w:r>
        <w:lastRenderedPageBreak/>
        <w:t xml:space="preserve">SERVICES </w:t>
      </w:r>
      <w:r w:rsidR="00BB1A31">
        <w:t>–</w:t>
      </w:r>
      <w:r>
        <w:t xml:space="preserve"> GENERAL</w:t>
      </w:r>
      <w:bookmarkEnd w:id="2"/>
      <w:bookmarkEnd w:id="3"/>
    </w:p>
    <w:p w:rsidR="00DD5537" w:rsidRPr="00D44905" w:rsidRDefault="00DD5537" w:rsidP="00D44905">
      <w:pPr>
        <w:pStyle w:val="Heading2"/>
      </w:pPr>
      <w:bookmarkStart w:id="16" w:name="_Toc332905947"/>
      <w:bookmarkStart w:id="17" w:name="_Toc388515619"/>
      <w:r w:rsidRPr="00D44905">
        <w:t>Terminology</w:t>
      </w:r>
      <w:bookmarkEnd w:id="16"/>
      <w:bookmarkEnd w:id="17"/>
    </w:p>
    <w:p w:rsidR="00DD5537" w:rsidRPr="000B138A" w:rsidRDefault="00DD5537" w:rsidP="006912C4">
      <w:pPr>
        <w:pStyle w:val="BodyText"/>
        <w:keepNext/>
        <w:widowControl w:val="0"/>
      </w:pPr>
      <w:r w:rsidRPr="000B138A">
        <w:t xml:space="preserve">This document is intended for use in conjunction with the </w:t>
      </w:r>
      <w:r w:rsidR="002D59D8">
        <w:t xml:space="preserve">MPS-12 </w:t>
      </w:r>
      <w:r w:rsidRPr="000B138A">
        <w:t>Conditions of contract for provision of minor professional services.  Terminology defined in the Conditions has the same meaning in this Schedule 1.</w:t>
      </w:r>
    </w:p>
    <w:p w:rsidR="00DD5537" w:rsidRPr="00E007C3" w:rsidRDefault="00DD5537" w:rsidP="006912C4">
      <w:pPr>
        <w:pStyle w:val="Heading2"/>
      </w:pPr>
      <w:bookmarkStart w:id="18" w:name="_Toc332905948"/>
      <w:bookmarkStart w:id="19" w:name="_Toc388515620"/>
      <w:bookmarkStart w:id="20" w:name="_Toc504314147"/>
      <w:bookmarkStart w:id="21" w:name="_Toc504314505"/>
      <w:bookmarkStart w:id="22" w:name="_Toc504317647"/>
      <w:bookmarkStart w:id="23" w:name="_Toc504555389"/>
      <w:bookmarkStart w:id="24" w:name="_Toc521840897"/>
      <w:bookmarkStart w:id="25" w:name="_Toc522510669"/>
      <w:bookmarkStart w:id="26" w:name="_Toc524436665"/>
      <w:bookmarkStart w:id="27" w:name="_Toc524436795"/>
      <w:bookmarkStart w:id="28" w:name="_Toc525991800"/>
      <w:bookmarkStart w:id="29" w:name="_Toc504314502"/>
      <w:bookmarkStart w:id="30" w:name="_Toc504317645"/>
      <w:bookmarkStart w:id="31" w:name="_Toc504555387"/>
      <w:bookmarkStart w:id="32" w:name="_Toc521840895"/>
      <w:bookmarkStart w:id="33" w:name="_Toc522510667"/>
      <w:bookmarkStart w:id="34" w:name="_Toc524436663"/>
      <w:bookmarkStart w:id="35" w:name="_Toc524436793"/>
      <w:bookmarkStart w:id="36" w:name="_Toc525991798"/>
      <w:bookmarkEnd w:id="4"/>
      <w:bookmarkEnd w:id="5"/>
      <w:bookmarkEnd w:id="6"/>
      <w:bookmarkEnd w:id="7"/>
      <w:bookmarkEnd w:id="8"/>
      <w:bookmarkEnd w:id="9"/>
      <w:bookmarkEnd w:id="10"/>
      <w:bookmarkEnd w:id="11"/>
      <w:bookmarkEnd w:id="12"/>
      <w:bookmarkEnd w:id="13"/>
      <w:bookmarkEnd w:id="14"/>
      <w:bookmarkEnd w:id="15"/>
      <w:r w:rsidRPr="00E007C3">
        <w:t>Services</w:t>
      </w:r>
      <w:bookmarkEnd w:id="18"/>
      <w:bookmarkEnd w:id="19"/>
    </w:p>
    <w:p w:rsidR="00DD5537" w:rsidRPr="00E007C3" w:rsidRDefault="00DD5537" w:rsidP="006912C4">
      <w:pPr>
        <w:pStyle w:val="BodyText"/>
        <w:keepNext/>
      </w:pPr>
      <w:bookmarkStart w:id="37" w:name="_Toc504314501"/>
      <w:bookmarkStart w:id="38" w:name="_Toc504317644"/>
      <w:bookmarkStart w:id="39" w:name="_Toc504555386"/>
      <w:bookmarkStart w:id="40" w:name="_Toc521840894"/>
      <w:bookmarkStart w:id="41" w:name="_Toc522510666"/>
      <w:bookmarkStart w:id="42" w:name="_Toc524436662"/>
      <w:bookmarkStart w:id="43" w:name="_Toc524436792"/>
      <w:bookmarkStart w:id="44" w:name="_Toc525991797"/>
      <w:r w:rsidRPr="00E007C3">
        <w:t xml:space="preserve">The Contractor shall carry out the </w:t>
      </w:r>
      <w:r>
        <w:t>services</w:t>
      </w:r>
      <w:r w:rsidRPr="00E007C3">
        <w:t xml:space="preserve"> in accordance with the Contract, the Schedules and the project brief.</w:t>
      </w:r>
    </w:p>
    <w:p w:rsidR="00DD5537" w:rsidRDefault="00DD5537" w:rsidP="006912C4">
      <w:pPr>
        <w:pStyle w:val="Heading2"/>
      </w:pPr>
      <w:bookmarkStart w:id="45" w:name="_Toc329266812"/>
      <w:bookmarkStart w:id="46" w:name="_Toc332905949"/>
      <w:bookmarkStart w:id="47" w:name="_Toc388515621"/>
      <w:bookmarkEnd w:id="37"/>
      <w:bookmarkEnd w:id="38"/>
      <w:bookmarkEnd w:id="39"/>
      <w:bookmarkEnd w:id="40"/>
      <w:bookmarkEnd w:id="41"/>
      <w:bookmarkEnd w:id="42"/>
      <w:bookmarkEnd w:id="43"/>
      <w:bookmarkEnd w:id="44"/>
      <w:r>
        <w:t xml:space="preserve">Contract </w:t>
      </w:r>
      <w:r w:rsidR="001033E9">
        <w:t>P</w:t>
      </w:r>
      <w:r>
        <w:t xml:space="preserve">rice </w:t>
      </w:r>
      <w:r w:rsidR="00AE39B0">
        <w:t>–</w:t>
      </w:r>
      <w:r>
        <w:t xml:space="preserve"> </w:t>
      </w:r>
      <w:r w:rsidR="001033E9">
        <w:t>F</w:t>
      </w:r>
      <w:r>
        <w:t>ees</w:t>
      </w:r>
      <w:r w:rsidR="00AE39B0">
        <w:t xml:space="preserve"> </w:t>
      </w:r>
      <w:r>
        <w:t xml:space="preserve">and </w:t>
      </w:r>
      <w:r w:rsidR="001033E9">
        <w:t>D</w:t>
      </w:r>
      <w:r>
        <w:t>isbursements</w:t>
      </w:r>
      <w:bookmarkEnd w:id="45"/>
      <w:bookmarkEnd w:id="46"/>
      <w:bookmarkEnd w:id="47"/>
    </w:p>
    <w:p w:rsidR="00DD5537" w:rsidRDefault="00DD5537" w:rsidP="006912C4">
      <w:pPr>
        <w:pStyle w:val="BodyText"/>
        <w:keepNext/>
      </w:pPr>
      <w:r>
        <w:t xml:space="preserve">The fixed or indicative fee component of the contract price shall include GST and shall include </w:t>
      </w:r>
      <w:r w:rsidRPr="00E007C3">
        <w:t>Con</w:t>
      </w:r>
      <w:r>
        <w:t xml:space="preserve">tractor time (including hours spent in country, interstate and international travel) and all general administration costs including telephone calls, facsimiles, courier services, photocopying, presentation material, printing (except tender/contract documentation) </w:t>
      </w:r>
      <w:r w:rsidRPr="00E007C3">
        <w:t xml:space="preserve">interstate and/or international travel costs for attendance in Adelaide as part of the </w:t>
      </w:r>
      <w:r>
        <w:t>Contractor</w:t>
      </w:r>
      <w:r w:rsidRPr="00E007C3">
        <w:t xml:space="preserve">’s provision of the </w:t>
      </w:r>
      <w:r>
        <w:t>services and travel costs in the metropolitan area (within 32 km of the Adelaide GPO).  No additional fee payment will be made for these items.</w:t>
      </w:r>
    </w:p>
    <w:p w:rsidR="00DD5537" w:rsidRDefault="00DD5537" w:rsidP="006912C4">
      <w:pPr>
        <w:pStyle w:val="BodyText"/>
        <w:keepNext/>
      </w:pPr>
      <w:r>
        <w:t xml:space="preserve">The fixed or indicative disbursement component of the contract price shall include GST and may include country, interstate and international travel and accommodation costs, </w:t>
      </w:r>
      <w:r w:rsidRPr="00E007C3">
        <w:t xml:space="preserve">(except where incurred for attendance in Adelaide as part of the </w:t>
      </w:r>
      <w:r>
        <w:t>Contractor</w:t>
      </w:r>
      <w:r w:rsidRPr="00E007C3">
        <w:t xml:space="preserve">’s provision of the </w:t>
      </w:r>
      <w:r>
        <w:t>services</w:t>
      </w:r>
      <w:r w:rsidRPr="00E007C3">
        <w:t xml:space="preserve">), </w:t>
      </w:r>
      <w:r>
        <w:t>costs for the preparation of perspectives and models, costs for soils testing, survey, statutory fees, dilapidation reports, printing (tender/contract documentation) and other costs as agreed.  Payment of disbursements will be made as the expenditure is incurred and for actual amounts incurred.</w:t>
      </w:r>
    </w:p>
    <w:p w:rsidR="00D44905" w:rsidRPr="000B138A" w:rsidRDefault="00D44905" w:rsidP="00D44905">
      <w:pPr>
        <w:keepNext/>
        <w:widowControl w:val="0"/>
      </w:pPr>
      <w:r w:rsidRPr="000B138A">
        <w:t>The Contractor shall provide the following disbursements and shall be responsible for arranging and coordinating services associated with disbursements and for making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D44905" w:rsidRPr="00607B08" w:rsidTr="00C91B66">
        <w:tblPrEx>
          <w:tblCellMar>
            <w:top w:w="0" w:type="dxa"/>
            <w:bottom w:w="0" w:type="dxa"/>
          </w:tblCellMar>
        </w:tblPrEx>
        <w:trPr>
          <w:tblHeader/>
        </w:trPr>
        <w:tc>
          <w:tcPr>
            <w:tcW w:w="9072" w:type="dxa"/>
          </w:tcPr>
          <w:p w:rsidR="00D44905" w:rsidRPr="00107A58" w:rsidRDefault="00D44905" w:rsidP="00C91B66">
            <w:pPr>
              <w:keepNext/>
              <w:widowControl w:val="0"/>
              <w:rPr>
                <w:b/>
              </w:rPr>
            </w:pPr>
            <w:r w:rsidRPr="00107A58">
              <w:br w:type="page"/>
            </w:r>
            <w:r w:rsidRPr="00107A58">
              <w:rPr>
                <w:b/>
              </w:rPr>
              <w:t>Disbursement</w:t>
            </w:r>
          </w:p>
        </w:tc>
      </w:tr>
      <w:tr w:rsidR="00D44905" w:rsidRPr="00607B08" w:rsidTr="00C91B66">
        <w:tblPrEx>
          <w:tblCellMar>
            <w:top w:w="0" w:type="dxa"/>
            <w:bottom w:w="0" w:type="dxa"/>
          </w:tblCellMar>
        </w:tblPrEx>
        <w:tc>
          <w:tcPr>
            <w:tcW w:w="9072" w:type="dxa"/>
          </w:tcPr>
          <w:p w:rsidR="00D44905" w:rsidRPr="00A10E3A" w:rsidRDefault="00D44905" w:rsidP="00C91B66">
            <w:pPr>
              <w:keepNext/>
              <w:widowControl w:val="0"/>
              <w:rPr>
                <w:color w:val="FF0000"/>
              </w:rPr>
            </w:pPr>
            <w:r w:rsidRPr="00A10E3A">
              <w:rPr>
                <w:color w:val="FF0000"/>
              </w:rPr>
              <w:t>Accommodation</w:t>
            </w:r>
            <w:r>
              <w:rPr>
                <w:color w:val="FF0000"/>
              </w:rPr>
              <w:t xml:space="preserve"> (cost per night)</w:t>
            </w:r>
          </w:p>
        </w:tc>
      </w:tr>
      <w:tr w:rsidR="00D44905" w:rsidTr="00C91B66">
        <w:tblPrEx>
          <w:tblCellMar>
            <w:top w:w="0" w:type="dxa"/>
            <w:bottom w:w="0" w:type="dxa"/>
          </w:tblCellMar>
        </w:tblPrEx>
        <w:tc>
          <w:tcPr>
            <w:tcW w:w="9072" w:type="dxa"/>
          </w:tcPr>
          <w:p w:rsidR="00D44905" w:rsidRPr="00471A2D" w:rsidRDefault="00D44905" w:rsidP="00C91B66">
            <w:pPr>
              <w:keepNext/>
              <w:widowControl w:val="0"/>
              <w:rPr>
                <w:color w:val="FF0000"/>
              </w:rPr>
            </w:pPr>
            <w:r w:rsidRPr="00471A2D">
              <w:rPr>
                <w:color w:val="FF0000"/>
              </w:rPr>
              <w:t>Travel – country (cost per trip per person)</w:t>
            </w:r>
          </w:p>
        </w:tc>
      </w:tr>
      <w:tr w:rsidR="00D44905" w:rsidRPr="000B138A" w:rsidTr="00D44905">
        <w:tblPrEx>
          <w:tblCellMar>
            <w:top w:w="0" w:type="dxa"/>
            <w:bottom w:w="0" w:type="dxa"/>
          </w:tblCellMar>
        </w:tblPrEx>
        <w:tc>
          <w:tcPr>
            <w:tcW w:w="9072" w:type="dxa"/>
          </w:tcPr>
          <w:p w:rsidR="00D44905" w:rsidRPr="004301E9" w:rsidRDefault="00D44905" w:rsidP="00C91B66">
            <w:pPr>
              <w:keepNext/>
              <w:widowControl w:val="0"/>
              <w:rPr>
                <w:color w:val="FF0000"/>
              </w:rPr>
            </w:pPr>
            <w:r w:rsidRPr="004301E9">
              <w:rPr>
                <w:color w:val="FF0000"/>
              </w:rPr>
              <w:t>Statutory fees (if required)</w:t>
            </w:r>
          </w:p>
        </w:tc>
      </w:tr>
    </w:tbl>
    <w:p w:rsidR="00D44905" w:rsidRPr="000B138A" w:rsidRDefault="00D44905" w:rsidP="00D44905">
      <w:pPr>
        <w:pStyle w:val="BodyText"/>
        <w:keepNext/>
        <w:spacing w:before="120"/>
      </w:pPr>
      <w:bookmarkStart w:id="48" w:name="_Toc329266813"/>
      <w:bookmarkStart w:id="49" w:name="_Toc332905950"/>
      <w:r w:rsidRPr="000B138A">
        <w:t>Payment of disbursements will be made as the expenditure is incurred and for actual amounts incurred.</w:t>
      </w:r>
    </w:p>
    <w:p w:rsidR="00D44905" w:rsidRDefault="00D44905" w:rsidP="00D44905">
      <w:pPr>
        <w:pStyle w:val="BodyText"/>
        <w:keepNext/>
        <w:widowControl w:val="0"/>
      </w:pPr>
      <w:r>
        <w:t>If after execution of the Contract there is a requirement for the Contractor to undertake additional work, the Contractor must if required submit a revised fee on the basis of the fixed fees and disbursements.  Revised fees which are not consistent with the contract price or with DPTI market data on fees and disbursements for similar projects may be rejected.</w:t>
      </w:r>
    </w:p>
    <w:p w:rsidR="00DD5537" w:rsidRPr="00E007C3" w:rsidRDefault="00456169" w:rsidP="006912C4">
      <w:pPr>
        <w:pStyle w:val="Heading2"/>
      </w:pPr>
      <w:bookmarkStart w:id="50" w:name="_Toc388515622"/>
      <w:r>
        <w:t xml:space="preserve">Contract </w:t>
      </w:r>
      <w:r w:rsidR="001033E9">
        <w:t>M</w:t>
      </w:r>
      <w:r w:rsidR="00DD5537" w:rsidRPr="00E007C3">
        <w:t>aterial</w:t>
      </w:r>
      <w:bookmarkEnd w:id="48"/>
      <w:bookmarkEnd w:id="49"/>
      <w:bookmarkEnd w:id="50"/>
    </w:p>
    <w:p w:rsidR="00DD5537" w:rsidRDefault="00DD5537" w:rsidP="006912C4">
      <w:pPr>
        <w:pStyle w:val="BodyText"/>
        <w:keepNext/>
      </w:pPr>
      <w:r>
        <w:t xml:space="preserve">The Contractor shall prepare any </w:t>
      </w:r>
      <w:r w:rsidRPr="00E007C3">
        <w:t>contract material</w:t>
      </w:r>
      <w:r>
        <w:t xml:space="preserve"> as required by the Brief and necessary for the execution of the project and review it for completeness and correctness and with a view to omitting any ambiguity and inconsistency.</w:t>
      </w:r>
    </w:p>
    <w:p w:rsidR="00D44905" w:rsidRDefault="00D44905" w:rsidP="00D44905">
      <w:pPr>
        <w:pStyle w:val="Heading2"/>
        <w:widowControl w:val="0"/>
      </w:pPr>
      <w:bookmarkStart w:id="51" w:name="_Toc291745083"/>
      <w:bookmarkStart w:id="52" w:name="_Toc297225758"/>
      <w:bookmarkStart w:id="53" w:name="_Toc329266814"/>
      <w:bookmarkStart w:id="54" w:name="_Toc332905750"/>
      <w:bookmarkStart w:id="55" w:name="_Toc338932491"/>
      <w:bookmarkStart w:id="56" w:name="_Toc388515623"/>
      <w:bookmarkStart w:id="57" w:name="_Toc291745079"/>
      <w:bookmarkStart w:id="58" w:name="_Toc297225760"/>
      <w:bookmarkStart w:id="59" w:name="_Toc329266816"/>
      <w:bookmarkStart w:id="60" w:name="_Toc332905952"/>
      <w:r>
        <w:t xml:space="preserve">DPTI </w:t>
      </w:r>
      <w:r w:rsidR="001033E9">
        <w:t>P</w:t>
      </w:r>
      <w:r>
        <w:t xml:space="preserve">ublications, </w:t>
      </w:r>
      <w:r w:rsidR="001033E9">
        <w:t>P</w:t>
      </w:r>
      <w:r>
        <w:t xml:space="preserve">olicies and </w:t>
      </w:r>
      <w:r w:rsidR="001033E9">
        <w:t>G</w:t>
      </w:r>
      <w:r>
        <w:t>uidenotes</w:t>
      </w:r>
      <w:bookmarkEnd w:id="51"/>
      <w:bookmarkEnd w:id="52"/>
      <w:bookmarkEnd w:id="53"/>
      <w:bookmarkEnd w:id="54"/>
      <w:bookmarkEnd w:id="55"/>
      <w:bookmarkEnd w:id="56"/>
    </w:p>
    <w:p w:rsidR="00D44905" w:rsidRDefault="00D44905" w:rsidP="00D44905">
      <w:pPr>
        <w:pStyle w:val="BodyText"/>
        <w:keepNext/>
        <w:widowControl w:val="0"/>
      </w:pPr>
      <w:r>
        <w:t xml:space="preserve">Any </w:t>
      </w:r>
      <w:r w:rsidRPr="00E007C3">
        <w:t>contract material</w:t>
      </w:r>
      <w:r>
        <w:t xml:space="preserve"> must be consistent with published Department of Planning, Transport and Infrastructure (DPTI) and lead agency policies and standards relevant to the project.</w:t>
      </w:r>
    </w:p>
    <w:p w:rsidR="00D44905" w:rsidRDefault="00D44905" w:rsidP="00D44905">
      <w:pPr>
        <w:pStyle w:val="BodyText"/>
        <w:keepNext/>
        <w:widowControl w:val="0"/>
      </w:pPr>
      <w:r>
        <w:t xml:space="preserve">DPTI Guide notes can be found in the BPIMS Project Library at </w:t>
      </w:r>
      <w:r w:rsidRPr="00101FB7">
        <w:rPr>
          <w:rStyle w:val="Hyperlink"/>
        </w:rPr>
        <w:t>http://www.bpims.sa.gov.au/bpims/library/library_frameset_1.htm</w:t>
      </w:r>
      <w:r>
        <w:rPr>
          <w:rStyle w:val="Hyperlink"/>
        </w:rPr>
        <w:t>.</w:t>
      </w:r>
    </w:p>
    <w:p w:rsidR="00DD5537" w:rsidRPr="00D67E25" w:rsidRDefault="00DD5537" w:rsidP="006912C4">
      <w:pPr>
        <w:pStyle w:val="Heading2"/>
      </w:pPr>
      <w:bookmarkStart w:id="61" w:name="_Toc388515624"/>
      <w:r w:rsidRPr="00D67E25">
        <w:t xml:space="preserve">Site </w:t>
      </w:r>
      <w:r w:rsidR="001033E9">
        <w:t>I</w:t>
      </w:r>
      <w:r w:rsidRPr="00D67E25">
        <w:t>nvestigation</w:t>
      </w:r>
      <w:bookmarkEnd w:id="57"/>
      <w:bookmarkEnd w:id="58"/>
      <w:bookmarkEnd w:id="59"/>
      <w:bookmarkEnd w:id="60"/>
      <w:bookmarkEnd w:id="61"/>
    </w:p>
    <w:p w:rsidR="000B58FA" w:rsidRPr="00735986" w:rsidRDefault="000B58FA" w:rsidP="006912C4">
      <w:pPr>
        <w:pStyle w:val="BodyText"/>
        <w:keepNext/>
      </w:pPr>
      <w:r w:rsidRPr="00735986">
        <w:t xml:space="preserve">The </w:t>
      </w:r>
      <w:r w:rsidR="00DD5537" w:rsidRPr="00735986">
        <w:t>Contractor</w:t>
      </w:r>
      <w:r w:rsidRPr="00735986">
        <w:t xml:space="preserve"> shall investigate and report on </w:t>
      </w:r>
      <w:r w:rsidR="00D44905">
        <w:t xml:space="preserve">base building </w:t>
      </w:r>
      <w:r w:rsidRPr="00735986">
        <w:t>site and ownership details</w:t>
      </w:r>
      <w:r w:rsidR="00D44905">
        <w:t xml:space="preserve"> and any </w:t>
      </w:r>
      <w:r w:rsidRPr="00735986">
        <w:t>boundary issues</w:t>
      </w:r>
      <w:r w:rsidR="00D44905">
        <w:t xml:space="preserve"> or development approval issues.</w:t>
      </w:r>
    </w:p>
    <w:p w:rsidR="001C0381" w:rsidRDefault="001C0381" w:rsidP="006912C4">
      <w:pPr>
        <w:pStyle w:val="Heading2"/>
      </w:pPr>
      <w:bookmarkStart w:id="62" w:name="_Toc332905953"/>
      <w:bookmarkStart w:id="63" w:name="_Toc388515625"/>
      <w:bookmarkEnd w:id="20"/>
      <w:bookmarkEnd w:id="21"/>
      <w:bookmarkEnd w:id="22"/>
      <w:bookmarkEnd w:id="23"/>
      <w:bookmarkEnd w:id="24"/>
      <w:bookmarkEnd w:id="25"/>
      <w:bookmarkEnd w:id="26"/>
      <w:bookmarkEnd w:id="27"/>
      <w:bookmarkEnd w:id="28"/>
      <w:r>
        <w:t xml:space="preserve">Facilities </w:t>
      </w:r>
      <w:r w:rsidR="001033E9">
        <w:t>P</w:t>
      </w:r>
      <w:r w:rsidR="00456169">
        <w:t xml:space="preserve">lanning </w:t>
      </w:r>
      <w:r w:rsidR="001033E9">
        <w:t>S</w:t>
      </w:r>
      <w:r w:rsidR="00456169">
        <w:t>ervices</w:t>
      </w:r>
      <w:bookmarkEnd w:id="62"/>
      <w:bookmarkEnd w:id="63"/>
    </w:p>
    <w:p w:rsidR="001C0381" w:rsidRDefault="001C0381" w:rsidP="006912C4">
      <w:pPr>
        <w:pStyle w:val="BodyText"/>
        <w:keepNext/>
      </w:pPr>
      <w:r>
        <w:t xml:space="preserve">The </w:t>
      </w:r>
      <w:r w:rsidR="006912C4">
        <w:t>s</w:t>
      </w:r>
      <w:r>
        <w:t>ervices include planning an accommodation solution for the lead agency’s future workplaces that will meet changing operational requirements, new technology, changing work patterns and new workplace culture.</w:t>
      </w:r>
    </w:p>
    <w:p w:rsidR="006912C4" w:rsidRPr="000B138A" w:rsidRDefault="006912C4" w:rsidP="006912C4">
      <w:pPr>
        <w:pStyle w:val="BodyText"/>
        <w:keepNext/>
      </w:pPr>
      <w:r w:rsidRPr="000B138A">
        <w:t xml:space="preserve">The </w:t>
      </w:r>
      <w:r>
        <w:t xml:space="preserve">services are </w:t>
      </w:r>
      <w:r w:rsidRPr="000B138A">
        <w:t xml:space="preserve">for the preparation of a </w:t>
      </w:r>
      <w:r>
        <w:t xml:space="preserve">Facilities </w:t>
      </w:r>
      <w:r w:rsidRPr="000B138A">
        <w:t>Plan only</w:t>
      </w:r>
      <w:r>
        <w:t xml:space="preserve"> and not for any subsequent phase or services part of the proposed project as may be described in the Construction Procurement Policy: Project Implementation Process</w:t>
      </w:r>
      <w:r w:rsidRPr="000B138A">
        <w:t>.</w:t>
      </w:r>
    </w:p>
    <w:p w:rsidR="001C0381" w:rsidRDefault="006912C4" w:rsidP="006912C4">
      <w:pPr>
        <w:pStyle w:val="BodyText"/>
        <w:keepNext/>
      </w:pPr>
      <w:r>
        <w:t>The s</w:t>
      </w:r>
      <w:r w:rsidR="001C0381">
        <w:t>ervices will result in a Facilities Plan which when implemented will provide an environment that is operationally effective, flexible and supportive, and allows capacity for the agency to model best environmental practice in accommodation.</w:t>
      </w:r>
    </w:p>
    <w:p w:rsidR="001C0381" w:rsidRDefault="001C0381" w:rsidP="006912C4">
      <w:pPr>
        <w:pStyle w:val="BodyText"/>
        <w:keepNext/>
      </w:pPr>
      <w:r>
        <w:t xml:space="preserve">The </w:t>
      </w:r>
      <w:r w:rsidR="006912C4">
        <w:t>s</w:t>
      </w:r>
      <w:r>
        <w:t>ervices shall comprise:</w:t>
      </w:r>
    </w:p>
    <w:p w:rsidR="001C0381" w:rsidRPr="00735986" w:rsidRDefault="001C0381" w:rsidP="006912C4">
      <w:pPr>
        <w:pStyle w:val="Heading3"/>
      </w:pPr>
      <w:r w:rsidRPr="00735986">
        <w:t xml:space="preserve">Assessment of </w:t>
      </w:r>
      <w:r w:rsidR="001033E9">
        <w:t>L</w:t>
      </w:r>
      <w:r w:rsidRPr="00735986">
        <w:t xml:space="preserve">ead </w:t>
      </w:r>
      <w:r w:rsidR="001033E9">
        <w:t>A</w:t>
      </w:r>
      <w:r w:rsidRPr="00735986">
        <w:t xml:space="preserve">gency </w:t>
      </w:r>
      <w:r w:rsidR="001033E9">
        <w:t>N</w:t>
      </w:r>
      <w:r w:rsidRPr="00735986">
        <w:t>eeds</w:t>
      </w:r>
    </w:p>
    <w:p w:rsidR="001C0381" w:rsidRPr="001C0381" w:rsidRDefault="001C0381" w:rsidP="006912C4">
      <w:pPr>
        <w:pStyle w:val="Bullet"/>
        <w:keepNext/>
        <w:ind w:left="1276" w:hanging="520"/>
      </w:pPr>
      <w:r w:rsidRPr="001C0381">
        <w:t>An analysis of the agency’s business plan, organisational structure, service delivery requirements and operational requirements;</w:t>
      </w:r>
    </w:p>
    <w:p w:rsidR="001C0381" w:rsidRDefault="001C0381" w:rsidP="006912C4">
      <w:pPr>
        <w:pStyle w:val="Bullet"/>
        <w:keepNext/>
        <w:ind w:left="1276" w:hanging="520"/>
      </w:pPr>
      <w:r>
        <w:t>Identification of current accommodation and facilities occupied the agency including current leases, their remaining durations and rates;</w:t>
      </w:r>
    </w:p>
    <w:p w:rsidR="001C0381" w:rsidRDefault="001C0381" w:rsidP="006912C4">
      <w:pPr>
        <w:pStyle w:val="Bullet"/>
        <w:keepNext/>
        <w:ind w:left="1276" w:hanging="520"/>
      </w:pPr>
      <w:r>
        <w:t>Identification of functional links between groups in order to prepare recommendations for sharing and rationalisation of the various groups’ accommodation;</w:t>
      </w:r>
    </w:p>
    <w:p w:rsidR="001C0381" w:rsidRDefault="001C0381" w:rsidP="006912C4">
      <w:pPr>
        <w:pStyle w:val="Bullet"/>
        <w:keepNext/>
        <w:ind w:left="1276" w:hanging="520"/>
      </w:pPr>
      <w:r>
        <w:t>Note: The methodology should allow for adequate consultation processes with staff and management to ensure the experience and understanding of those who will work in the accommodation is taken into consideration.</w:t>
      </w:r>
    </w:p>
    <w:p w:rsidR="001C0381" w:rsidRDefault="001C0381" w:rsidP="006912C4">
      <w:pPr>
        <w:pStyle w:val="Heading3"/>
        <w:widowControl w:val="0"/>
        <w:numPr>
          <w:ilvl w:val="0"/>
          <w:numId w:val="0"/>
        </w:numPr>
        <w:tabs>
          <w:tab w:val="left" w:pos="709"/>
        </w:tabs>
        <w:ind w:left="709" w:hanging="709"/>
        <w:jc w:val="left"/>
      </w:pPr>
    </w:p>
    <w:p w:rsidR="001C0381" w:rsidRDefault="001C0381" w:rsidP="006912C4">
      <w:pPr>
        <w:pStyle w:val="Heading3"/>
      </w:pPr>
      <w:r>
        <w:t xml:space="preserve">Detailed </w:t>
      </w:r>
      <w:r w:rsidR="001033E9">
        <w:t>Space Needs Analysis and Future Accommodation Options and Recommendations</w:t>
      </w:r>
    </w:p>
    <w:p w:rsidR="001C0381" w:rsidRDefault="001C0381" w:rsidP="006912C4">
      <w:pPr>
        <w:pStyle w:val="Bullet"/>
        <w:keepNext/>
        <w:numPr>
          <w:ilvl w:val="0"/>
          <w:numId w:val="10"/>
        </w:numPr>
        <w:ind w:left="1276" w:hanging="567"/>
      </w:pPr>
      <w:r>
        <w:t>Preparation of a detailed space needs analysis for future accommodation including area requirements for staff and support facilities to enable a calculation of the total area</w:t>
      </w:r>
    </w:p>
    <w:p w:rsidR="001C0381" w:rsidRDefault="001C0381" w:rsidP="006912C4">
      <w:pPr>
        <w:pStyle w:val="Bullet"/>
        <w:keepNext/>
        <w:numPr>
          <w:ilvl w:val="0"/>
          <w:numId w:val="10"/>
        </w:numPr>
        <w:ind w:left="1276" w:hanging="567"/>
      </w:pPr>
      <w:r>
        <w:t>Establishment of a set of guiding principles for the future planning of office accommodation which focuses on promoting productive workplaces that provide a range of accommodation options for varying purposes, thereby encouraging teamwork and interaction and a positive work culture.</w:t>
      </w:r>
    </w:p>
    <w:p w:rsidR="001C0381" w:rsidRDefault="001C0381" w:rsidP="006912C4">
      <w:pPr>
        <w:pStyle w:val="Bullet"/>
        <w:keepNext/>
        <w:numPr>
          <w:ilvl w:val="0"/>
          <w:numId w:val="10"/>
        </w:numPr>
        <w:ind w:left="1276" w:hanging="567"/>
      </w:pPr>
      <w:r>
        <w:t>Note:</w:t>
      </w:r>
      <w:r>
        <w:tab/>
        <w:t>The Facility Plan will comply with the Government Office Accommodation Guidelines (GOAC) and the Environment and Conservation Portfolio Strategic Accommodation Plan 2003.  The area analysis should be submitted on the standard Government Guidelines Space Usage Table.</w:t>
      </w:r>
    </w:p>
    <w:p w:rsidR="001C0381" w:rsidRDefault="001C0381" w:rsidP="006912C4">
      <w:pPr>
        <w:pStyle w:val="Bullet"/>
        <w:keepNext/>
        <w:numPr>
          <w:ilvl w:val="0"/>
          <w:numId w:val="10"/>
        </w:numPr>
        <w:ind w:left="1276" w:hanging="567"/>
      </w:pPr>
      <w:r>
        <w:t>Identification of facilities (including the various alternate and complimentary locations) which should be shared, rationalised or redeveloped and, if applicable, those locations where accommodation should be located, in order to achieve the optimum cost benefits and meet service delivery requirements;</w:t>
      </w:r>
    </w:p>
    <w:p w:rsidR="001C0381" w:rsidRDefault="001C0381" w:rsidP="006912C4">
      <w:pPr>
        <w:pStyle w:val="Bullet"/>
        <w:keepNext/>
        <w:numPr>
          <w:ilvl w:val="0"/>
          <w:numId w:val="10"/>
        </w:numPr>
        <w:ind w:left="1276" w:hanging="567"/>
      </w:pPr>
      <w:r>
        <w:t>Recommendation on accommodation solutions to meet the above (including stacking plans), which will ensure appropriate sharing and allocation of space for the services, provided. (Accommodation, operational and IT cost savings to be included);</w:t>
      </w:r>
    </w:p>
    <w:p w:rsidR="001C0381" w:rsidRDefault="001C0381" w:rsidP="006912C4">
      <w:pPr>
        <w:pStyle w:val="Bullet"/>
        <w:keepNext/>
        <w:numPr>
          <w:ilvl w:val="0"/>
          <w:numId w:val="10"/>
        </w:numPr>
        <w:ind w:left="1276" w:hanging="567"/>
      </w:pPr>
      <w:r>
        <w:t>Financial analysis of the options to substantiate the recommendations.  A cost benefit analysis will be required in regard to any options or changes recommended.</w:t>
      </w:r>
    </w:p>
    <w:p w:rsidR="00D44905" w:rsidRPr="000B138A" w:rsidRDefault="00D44905" w:rsidP="00D44905">
      <w:pPr>
        <w:pStyle w:val="Heading2"/>
        <w:widowControl w:val="0"/>
      </w:pPr>
      <w:bookmarkStart w:id="64" w:name="_Toc332905754"/>
      <w:bookmarkStart w:id="65" w:name="_Toc338932495"/>
      <w:bookmarkStart w:id="66" w:name="_Toc388515626"/>
      <w:r w:rsidRPr="000B138A">
        <w:t>Sub</w:t>
      </w:r>
      <w:r>
        <w:t>c</w:t>
      </w:r>
      <w:r w:rsidRPr="000B138A">
        <w:t>ontractors</w:t>
      </w:r>
      <w:bookmarkEnd w:id="64"/>
      <w:bookmarkEnd w:id="65"/>
      <w:bookmarkEnd w:id="66"/>
    </w:p>
    <w:p w:rsidR="00D44905" w:rsidRPr="000B138A" w:rsidRDefault="00D44905" w:rsidP="00D44905">
      <w:pPr>
        <w:keepNext/>
        <w:widowControl w:val="0"/>
      </w:pPr>
      <w:r w:rsidRPr="000B138A">
        <w:t>There is a requirement for the following sub</w:t>
      </w:r>
      <w:r>
        <w:t>co</w:t>
      </w:r>
      <w:r w:rsidRPr="000B138A">
        <w:t xml:space="preserve">ntractors to be engaged </w:t>
      </w:r>
      <w:r w:rsidRPr="000B138A">
        <w:rPr>
          <w:iCs/>
        </w:rPr>
        <w:t>by the</w:t>
      </w:r>
      <w:r w:rsidRPr="000B138A">
        <w:t xml:space="preserve"> Contractor.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984"/>
      </w:tblGrid>
      <w:tr w:rsidR="00D44905" w:rsidTr="00C91B66">
        <w:tblPrEx>
          <w:tblCellMar>
            <w:top w:w="0" w:type="dxa"/>
            <w:bottom w:w="0" w:type="dxa"/>
          </w:tblCellMar>
        </w:tblPrEx>
        <w:trPr>
          <w:tblHeader/>
        </w:trPr>
        <w:tc>
          <w:tcPr>
            <w:tcW w:w="7088" w:type="dxa"/>
            <w:shd w:val="clear" w:color="auto" w:fill="E6E6E6"/>
            <w:vAlign w:val="center"/>
          </w:tcPr>
          <w:p w:rsidR="00D44905" w:rsidRDefault="00D44905" w:rsidP="00C91B66">
            <w:pPr>
              <w:keepNext/>
              <w:widowControl w:val="0"/>
              <w:rPr>
                <w:b/>
                <w:bCs/>
              </w:rPr>
            </w:pPr>
            <w:r>
              <w:br w:type="page"/>
            </w:r>
            <w:r>
              <w:rPr>
                <w:b/>
                <w:bCs/>
              </w:rPr>
              <w:t>Discipline</w:t>
            </w:r>
          </w:p>
        </w:tc>
        <w:tc>
          <w:tcPr>
            <w:tcW w:w="1984" w:type="dxa"/>
            <w:shd w:val="clear" w:color="auto" w:fill="E6E6E6"/>
            <w:vAlign w:val="center"/>
          </w:tcPr>
          <w:p w:rsidR="00D44905" w:rsidRDefault="00D44905" w:rsidP="00C91B66">
            <w:pPr>
              <w:keepNext/>
              <w:widowControl w:val="0"/>
              <w:rPr>
                <w:b/>
                <w:bCs/>
              </w:rPr>
            </w:pPr>
            <w:r>
              <w:rPr>
                <w:b/>
                <w:bCs/>
              </w:rPr>
              <w:t>Prequalification category</w:t>
            </w:r>
          </w:p>
        </w:tc>
      </w:tr>
      <w:tr w:rsidR="00D44905" w:rsidTr="00C91B66">
        <w:tblPrEx>
          <w:tblCellMar>
            <w:top w:w="0" w:type="dxa"/>
            <w:bottom w:w="0" w:type="dxa"/>
          </w:tblCellMar>
        </w:tblPrEx>
        <w:tc>
          <w:tcPr>
            <w:tcW w:w="7088" w:type="dxa"/>
          </w:tcPr>
          <w:p w:rsidR="00D44905" w:rsidRDefault="00D44905" w:rsidP="00C91B66">
            <w:pPr>
              <w:keepNext/>
              <w:widowControl w:val="0"/>
              <w:rPr>
                <w:color w:val="FF0000"/>
              </w:rPr>
            </w:pPr>
            <w:r>
              <w:rPr>
                <w:color w:val="FF0000"/>
              </w:rPr>
              <w:t>Building Services Engineering*</w:t>
            </w:r>
          </w:p>
        </w:tc>
        <w:tc>
          <w:tcPr>
            <w:tcW w:w="1984" w:type="dxa"/>
          </w:tcPr>
          <w:p w:rsidR="00D44905" w:rsidRDefault="00D44905" w:rsidP="00C91B66">
            <w:pPr>
              <w:keepNext/>
              <w:widowControl w:val="0"/>
              <w:rPr>
                <w:highlight w:val="yellow"/>
              </w:rPr>
            </w:pPr>
          </w:p>
        </w:tc>
      </w:tr>
      <w:tr w:rsidR="00D44905" w:rsidTr="00C91B66">
        <w:tblPrEx>
          <w:tblCellMar>
            <w:top w:w="0" w:type="dxa"/>
            <w:bottom w:w="0" w:type="dxa"/>
          </w:tblCellMar>
        </w:tblPrEx>
        <w:tc>
          <w:tcPr>
            <w:tcW w:w="7088" w:type="dxa"/>
          </w:tcPr>
          <w:p w:rsidR="00D44905" w:rsidRDefault="00D44905" w:rsidP="00C91B66">
            <w:pPr>
              <w:keepNext/>
              <w:widowControl w:val="0"/>
              <w:rPr>
                <w:color w:val="FF0000"/>
              </w:rPr>
            </w:pPr>
            <w:r>
              <w:rPr>
                <w:color w:val="FF0000"/>
              </w:rPr>
              <w:t>Cost Management</w:t>
            </w:r>
          </w:p>
        </w:tc>
        <w:tc>
          <w:tcPr>
            <w:tcW w:w="1984" w:type="dxa"/>
          </w:tcPr>
          <w:p w:rsidR="00D44905" w:rsidRDefault="00D44905" w:rsidP="00C91B66">
            <w:pPr>
              <w:keepNext/>
              <w:widowControl w:val="0"/>
              <w:rPr>
                <w:highlight w:val="yellow"/>
              </w:rPr>
            </w:pPr>
          </w:p>
        </w:tc>
      </w:tr>
      <w:tr w:rsidR="00D44905" w:rsidTr="00C91B66">
        <w:tblPrEx>
          <w:tblCellMar>
            <w:top w:w="0" w:type="dxa"/>
            <w:bottom w:w="0" w:type="dxa"/>
          </w:tblCellMar>
        </w:tblPrEx>
        <w:tc>
          <w:tcPr>
            <w:tcW w:w="7088" w:type="dxa"/>
          </w:tcPr>
          <w:p w:rsidR="00D44905" w:rsidRDefault="00D44905" w:rsidP="00C91B66">
            <w:pPr>
              <w:keepNext/>
              <w:widowControl w:val="0"/>
              <w:rPr>
                <w:color w:val="FF0000"/>
              </w:rPr>
            </w:pPr>
            <w:r>
              <w:rPr>
                <w:color w:val="FF0000"/>
              </w:rPr>
              <w:t>Disability Access</w:t>
            </w:r>
          </w:p>
        </w:tc>
        <w:tc>
          <w:tcPr>
            <w:tcW w:w="1984" w:type="dxa"/>
            <w:shd w:val="clear" w:color="auto" w:fill="D9D9D9"/>
          </w:tcPr>
          <w:p w:rsidR="00D44905" w:rsidRDefault="00D44905" w:rsidP="00C91B66">
            <w:pPr>
              <w:keepNext/>
              <w:widowControl w:val="0"/>
              <w:rPr>
                <w:highlight w:val="yellow"/>
              </w:rPr>
            </w:pPr>
          </w:p>
        </w:tc>
      </w:tr>
      <w:tr w:rsidR="00D44905" w:rsidTr="00C91B66">
        <w:tblPrEx>
          <w:tblCellMar>
            <w:top w:w="0" w:type="dxa"/>
            <w:bottom w:w="0" w:type="dxa"/>
          </w:tblCellMar>
        </w:tblPrEx>
        <w:tc>
          <w:tcPr>
            <w:tcW w:w="7088" w:type="dxa"/>
          </w:tcPr>
          <w:p w:rsidR="00D44905" w:rsidRDefault="00D44905" w:rsidP="00C91B66">
            <w:pPr>
              <w:keepNext/>
              <w:widowControl w:val="0"/>
              <w:rPr>
                <w:color w:val="FF0000"/>
              </w:rPr>
            </w:pPr>
            <w:r>
              <w:rPr>
                <w:color w:val="FF0000"/>
              </w:rPr>
              <w:t>Other</w:t>
            </w:r>
          </w:p>
        </w:tc>
        <w:tc>
          <w:tcPr>
            <w:tcW w:w="1984" w:type="dxa"/>
            <w:shd w:val="clear" w:color="auto" w:fill="D9D9D9"/>
          </w:tcPr>
          <w:p w:rsidR="00D44905" w:rsidRDefault="00D44905" w:rsidP="00C91B66">
            <w:pPr>
              <w:keepNext/>
              <w:widowControl w:val="0"/>
              <w:rPr>
                <w:highlight w:val="yellow"/>
              </w:rPr>
            </w:pPr>
          </w:p>
        </w:tc>
      </w:tr>
      <w:tr w:rsidR="00735986" w:rsidRPr="000B138A" w:rsidTr="006912C4">
        <w:tblPrEx>
          <w:tblCellMar>
            <w:top w:w="0" w:type="dxa"/>
            <w:bottom w:w="0" w:type="dxa"/>
          </w:tblCellMar>
        </w:tblPrEx>
        <w:tc>
          <w:tcPr>
            <w:tcW w:w="9072" w:type="dxa"/>
            <w:gridSpan w:val="2"/>
          </w:tcPr>
          <w:p w:rsidR="00735986" w:rsidRPr="00646AFE" w:rsidRDefault="00735986" w:rsidP="006912C4">
            <w:pPr>
              <w:keepNext/>
              <w:widowControl w:val="0"/>
              <w:rPr>
                <w:color w:val="FF0000"/>
              </w:rPr>
            </w:pPr>
            <w:r w:rsidRPr="00646AFE">
              <w:rPr>
                <w:color w:val="FF0000"/>
                <w:highlight w:val="yellow"/>
              </w:rPr>
              <w:t>Other</w:t>
            </w:r>
          </w:p>
        </w:tc>
      </w:tr>
    </w:tbl>
    <w:p w:rsidR="00D44905" w:rsidRPr="00D44905" w:rsidRDefault="00D44905" w:rsidP="00D44905">
      <w:pPr>
        <w:keepNext/>
        <w:widowControl w:val="0"/>
        <w:rPr>
          <w:color w:val="FF0000"/>
        </w:rPr>
      </w:pPr>
      <w:bookmarkStart w:id="67" w:name="_Toc332905956"/>
      <w:bookmarkStart w:id="68" w:name="_Toc504314507"/>
      <w:bookmarkStart w:id="69" w:name="_Toc504317649"/>
      <w:bookmarkStart w:id="70" w:name="_Toc504555391"/>
      <w:bookmarkStart w:id="71" w:name="_Toc521840899"/>
      <w:bookmarkStart w:id="72" w:name="_Toc522510671"/>
      <w:bookmarkStart w:id="73" w:name="_Toc524436667"/>
      <w:bookmarkStart w:id="74" w:name="_Toc524436797"/>
      <w:bookmarkStart w:id="75" w:name="_Toc525991802"/>
      <w:r w:rsidRPr="00D44905">
        <w:rPr>
          <w:color w:val="FF0000"/>
        </w:rPr>
        <w:t>*The subcontractor is eligible if prequalified in one of the disciplines related to that nominated.</w:t>
      </w:r>
    </w:p>
    <w:p w:rsidR="00D44905" w:rsidRPr="00E3627B" w:rsidRDefault="00D44905" w:rsidP="00D44905">
      <w:pPr>
        <w:pStyle w:val="Heading2"/>
        <w:widowControl w:val="0"/>
      </w:pPr>
      <w:bookmarkStart w:id="76" w:name="_Toc332905755"/>
      <w:bookmarkStart w:id="77" w:name="_Toc338932496"/>
      <w:bookmarkStart w:id="78" w:name="_Toc388515627"/>
      <w:bookmarkStart w:id="79" w:name="_Toc521840904"/>
      <w:bookmarkEnd w:id="67"/>
      <w:r w:rsidRPr="00E3627B">
        <w:t xml:space="preserve">Cost </w:t>
      </w:r>
      <w:r w:rsidR="001033E9">
        <w:t>M</w:t>
      </w:r>
      <w:r w:rsidRPr="00E3627B">
        <w:t>anagement</w:t>
      </w:r>
      <w:bookmarkEnd w:id="76"/>
      <w:bookmarkEnd w:id="77"/>
      <w:bookmarkEnd w:id="78"/>
    </w:p>
    <w:bookmarkEnd w:id="79"/>
    <w:p w:rsidR="00D44905" w:rsidRPr="00753265" w:rsidRDefault="00D44905" w:rsidP="00D44905">
      <w:pPr>
        <w:keepNext/>
        <w:widowControl w:val="0"/>
      </w:pPr>
      <w:r w:rsidRPr="00753265">
        <w:t xml:space="preserve">The </w:t>
      </w:r>
      <w:r w:rsidRPr="008C205F">
        <w:t xml:space="preserve">Contractor </w:t>
      </w:r>
      <w:r w:rsidRPr="00753265">
        <w:t xml:space="preserve">shall select and engage a DPTI prequalified Category </w:t>
      </w:r>
      <w:r>
        <w:t xml:space="preserve">3 </w:t>
      </w:r>
      <w:r w:rsidRPr="008B5975">
        <w:rPr>
          <w:color w:val="FF0000"/>
        </w:rPr>
        <w:t>3M</w:t>
      </w:r>
      <w:r w:rsidRPr="00753265">
        <w:t xml:space="preserve"> Cost Manager as a subcontractor.  The format for presentation of estimates shall be in accordance with the standard provided by DPTI - refer to the guide notes in the BPIMS Library at </w:t>
      </w:r>
      <w:r w:rsidRPr="00101FB7">
        <w:rPr>
          <w:rStyle w:val="Hyperlink"/>
        </w:rPr>
        <w:t>http://www.bpims.sa.gov.au/bpims/library/library_frameset_1.htm</w:t>
      </w:r>
      <w:r>
        <w:t>.</w:t>
      </w:r>
    </w:p>
    <w:p w:rsidR="00735986" w:rsidRPr="00E3627B" w:rsidRDefault="00735986" w:rsidP="006912C4">
      <w:pPr>
        <w:pStyle w:val="Heading2"/>
      </w:pPr>
      <w:bookmarkStart w:id="80" w:name="_Toc332905957"/>
      <w:bookmarkStart w:id="81" w:name="_Toc388515628"/>
      <w:bookmarkEnd w:id="68"/>
      <w:bookmarkEnd w:id="69"/>
      <w:bookmarkEnd w:id="70"/>
      <w:bookmarkEnd w:id="71"/>
      <w:bookmarkEnd w:id="72"/>
      <w:bookmarkEnd w:id="73"/>
      <w:bookmarkEnd w:id="74"/>
      <w:bookmarkEnd w:id="75"/>
      <w:r>
        <w:t>Services</w:t>
      </w:r>
      <w:r w:rsidRPr="00E3627B">
        <w:t xml:space="preserve"> </w:t>
      </w:r>
      <w:r w:rsidR="001033E9">
        <w:t>P</w:t>
      </w:r>
      <w:r w:rsidRPr="00E3627B">
        <w:t>rogram</w:t>
      </w:r>
      <w:bookmarkEnd w:id="80"/>
      <w:bookmarkEnd w:id="81"/>
    </w:p>
    <w:p w:rsidR="002D59D8" w:rsidRPr="00E22137" w:rsidRDefault="00735986" w:rsidP="002D59D8">
      <w:pPr>
        <w:pStyle w:val="BodyText"/>
        <w:keepNext/>
      </w:pPr>
      <w:r w:rsidRPr="000B138A">
        <w:t>The Contractor shall provide the Services in accordance with the program</w:t>
      </w:r>
      <w:r w:rsidR="002D59D8">
        <w:t xml:space="preserve"> set out in Schedule 2.</w:t>
      </w:r>
      <w:r w:rsidRPr="000B138A">
        <w:t xml:space="preserve"> </w:t>
      </w:r>
      <w:r w:rsidR="002D59D8">
        <w:t xml:space="preserve"> </w:t>
      </w:r>
      <w:r w:rsidR="002D59D8" w:rsidRPr="000B138A">
        <w:t>If the Contractor fails to comply with the above provision without the approval of the Client for any reason other than a default by the Client, the Contractor shall accelerate the execution of the Services at the Contractor’s expense until the Program requirements have been complied with.</w:t>
      </w:r>
    </w:p>
    <w:p w:rsidR="00735986" w:rsidRPr="00040D92" w:rsidRDefault="00BB1A31" w:rsidP="006912C4">
      <w:pPr>
        <w:pStyle w:val="Heading1"/>
        <w:tabs>
          <w:tab w:val="left" w:pos="1701"/>
        </w:tabs>
        <w:spacing w:before="360" w:after="240"/>
      </w:pPr>
      <w:bookmarkStart w:id="82" w:name="_Toc297276644"/>
      <w:bookmarkStart w:id="83" w:name="_Toc332905958"/>
      <w:bookmarkStart w:id="84" w:name="_Toc388515629"/>
      <w:bookmarkStart w:id="85" w:name="_Toc521840900"/>
      <w:bookmarkStart w:id="86" w:name="_Toc522510672"/>
      <w:bookmarkStart w:id="87" w:name="_Toc524436668"/>
      <w:bookmarkStart w:id="88" w:name="_Toc524436798"/>
      <w:bookmarkStart w:id="89" w:name="_Toc525991804"/>
      <w:bookmarkEnd w:id="29"/>
      <w:bookmarkEnd w:id="30"/>
      <w:bookmarkEnd w:id="31"/>
      <w:bookmarkEnd w:id="32"/>
      <w:bookmarkEnd w:id="33"/>
      <w:bookmarkEnd w:id="34"/>
      <w:bookmarkEnd w:id="35"/>
      <w:bookmarkEnd w:id="36"/>
      <w:r>
        <w:t>PROJECT DETAILS</w:t>
      </w:r>
      <w:bookmarkEnd w:id="82"/>
      <w:bookmarkEnd w:id="83"/>
      <w:bookmarkEnd w:id="84"/>
    </w:p>
    <w:p w:rsidR="00735986" w:rsidRPr="002704FA" w:rsidRDefault="00735986" w:rsidP="006912C4">
      <w:pPr>
        <w:pStyle w:val="Heading2"/>
      </w:pPr>
      <w:bookmarkStart w:id="90" w:name="_Toc297225786"/>
      <w:bookmarkStart w:id="91" w:name="_Toc297276854"/>
      <w:bookmarkStart w:id="92" w:name="_Toc332905959"/>
      <w:bookmarkStart w:id="93" w:name="_Toc388515630"/>
      <w:r w:rsidRPr="002704FA">
        <w:t>Terminology</w:t>
      </w:r>
      <w:bookmarkEnd w:id="90"/>
      <w:bookmarkEnd w:id="91"/>
      <w:bookmarkEnd w:id="92"/>
      <w:bookmarkEnd w:id="93"/>
    </w:p>
    <w:p w:rsidR="00735986" w:rsidRPr="002704FA" w:rsidRDefault="00735986" w:rsidP="006912C4">
      <w:pPr>
        <w:pStyle w:val="BodyText"/>
        <w:keepNext/>
      </w:pPr>
      <w:r w:rsidRPr="002704FA">
        <w:t xml:space="preserve">This document is intended for use in conjunction with the </w:t>
      </w:r>
      <w:r w:rsidR="002D59D8">
        <w:t xml:space="preserve">MPS-12 </w:t>
      </w:r>
      <w:r w:rsidRPr="002704FA">
        <w:t>Conditions of contract for provision of minor professional services.  Terminology defined in the Contract has the same meaning in this Schedule</w:t>
      </w:r>
      <w:r w:rsidR="002D59D8">
        <w:t xml:space="preserve"> 2</w:t>
      </w:r>
      <w:r w:rsidRPr="002704FA">
        <w:t>.</w:t>
      </w:r>
    </w:p>
    <w:p w:rsidR="00735986" w:rsidRPr="002704FA" w:rsidRDefault="00735986" w:rsidP="006912C4">
      <w:pPr>
        <w:pStyle w:val="Heading2"/>
      </w:pPr>
      <w:bookmarkStart w:id="94" w:name="_Toc297225788"/>
      <w:bookmarkStart w:id="95" w:name="_Toc297276856"/>
      <w:bookmarkStart w:id="96" w:name="_Toc332905961"/>
      <w:bookmarkStart w:id="97" w:name="_Toc388515631"/>
      <w:r w:rsidRPr="002704FA">
        <w:t xml:space="preserve">Project </w:t>
      </w:r>
      <w:r w:rsidR="001033E9">
        <w:t>D</w:t>
      </w:r>
      <w:r w:rsidRPr="002704FA">
        <w:t xml:space="preserve">escription and </w:t>
      </w:r>
      <w:r w:rsidR="001033E9">
        <w:t>S</w:t>
      </w:r>
      <w:r w:rsidRPr="002704FA">
        <w:t>cope</w:t>
      </w:r>
      <w:bookmarkEnd w:id="94"/>
      <w:bookmarkEnd w:id="95"/>
      <w:bookmarkEnd w:id="96"/>
      <w:bookmarkEnd w:id="97"/>
    </w:p>
    <w:p w:rsidR="002D59D8" w:rsidRPr="00345A9B" w:rsidRDefault="002D59D8" w:rsidP="002D59D8">
      <w:pPr>
        <w:keepNext/>
        <w:widowControl w:val="0"/>
        <w:rPr>
          <w:color w:val="FF0000"/>
        </w:rPr>
      </w:pPr>
      <w:r w:rsidRPr="00345A9B">
        <w:rPr>
          <w:color w:val="FF0000"/>
        </w:rPr>
        <w:t xml:space="preserve">The asset that is the subject of this </w:t>
      </w:r>
      <w:r>
        <w:rPr>
          <w:color w:val="FF0000"/>
        </w:rPr>
        <w:t xml:space="preserve">facilities </w:t>
      </w:r>
      <w:r w:rsidRPr="00345A9B">
        <w:rPr>
          <w:color w:val="FF0000"/>
        </w:rPr>
        <w:t xml:space="preserve">plan is </w:t>
      </w:r>
      <w:r w:rsidRPr="00345A9B">
        <w:rPr>
          <w:color w:val="FF0000"/>
          <w:highlight w:val="yellow"/>
        </w:rPr>
        <w:t>Name of asset</w:t>
      </w:r>
      <w:r w:rsidRPr="00345A9B">
        <w:rPr>
          <w:color w:val="FF0000"/>
        </w:rPr>
        <w:t xml:space="preserve"> at </w:t>
      </w:r>
      <w:r w:rsidRPr="00345A9B">
        <w:rPr>
          <w:color w:val="FF0000"/>
          <w:highlight w:val="yellow"/>
        </w:rPr>
        <w:t>Address of asset</w:t>
      </w:r>
      <w:r w:rsidRPr="00345A9B">
        <w:rPr>
          <w:color w:val="FF0000"/>
        </w:rPr>
        <w:t>.</w:t>
      </w:r>
    </w:p>
    <w:p w:rsidR="002D59D8" w:rsidRPr="00345A9B" w:rsidRDefault="002D59D8" w:rsidP="002D59D8">
      <w:pPr>
        <w:keepNext/>
        <w:widowControl w:val="0"/>
        <w:rPr>
          <w:color w:val="FF0000"/>
        </w:rPr>
      </w:pPr>
      <w:r w:rsidRPr="00345A9B">
        <w:rPr>
          <w:color w:val="FF0000"/>
        </w:rPr>
        <w:t xml:space="preserve">Document general description of </w:t>
      </w:r>
      <w:r>
        <w:rPr>
          <w:color w:val="FF0000"/>
        </w:rPr>
        <w:t xml:space="preserve">facilities plan </w:t>
      </w:r>
      <w:r w:rsidRPr="00345A9B">
        <w:rPr>
          <w:color w:val="FF0000"/>
        </w:rPr>
        <w:t>scope</w:t>
      </w:r>
      <w:r>
        <w:rPr>
          <w:color w:val="FF0000"/>
        </w:rPr>
        <w:t>.</w:t>
      </w:r>
    </w:p>
    <w:p w:rsidR="00FD18B6" w:rsidRDefault="002D59D8" w:rsidP="002D59D8">
      <w:pPr>
        <w:keepNext/>
        <w:widowControl w:val="0"/>
      </w:pPr>
      <w:r>
        <w:t xml:space="preserve">Any proposed fitout project arising from this facilities planning study must comply with all statutory and Government of South Australia policy requirements relevant to it with particular focus on ESD initiatives including the </w:t>
      </w:r>
      <w:r w:rsidR="00FD18B6">
        <w:t>Government Buildings Energy Strategy and other energy management policy documents.  Details are provided in the guide note “Government Buildings Energy Strategy Compliance (G46)”.</w:t>
      </w:r>
    </w:p>
    <w:p w:rsidR="002D59D8" w:rsidRPr="00687041" w:rsidRDefault="002D59D8" w:rsidP="002D59D8">
      <w:pPr>
        <w:pStyle w:val="Heading2"/>
        <w:widowControl w:val="0"/>
      </w:pPr>
      <w:bookmarkStart w:id="98" w:name="_Toc297225789"/>
      <w:bookmarkStart w:id="99" w:name="_Toc335385631"/>
      <w:bookmarkStart w:id="100" w:name="_Toc338932501"/>
      <w:bookmarkStart w:id="101" w:name="_Toc388515632"/>
      <w:r w:rsidRPr="00687041">
        <w:t xml:space="preserve">Project </w:t>
      </w:r>
      <w:r w:rsidR="001033E9">
        <w:t>O</w:t>
      </w:r>
      <w:r w:rsidRPr="00687041">
        <w:t>bjectives</w:t>
      </w:r>
      <w:bookmarkEnd w:id="98"/>
      <w:bookmarkEnd w:id="99"/>
      <w:bookmarkEnd w:id="100"/>
      <w:bookmarkEnd w:id="101"/>
    </w:p>
    <w:p w:rsidR="002D59D8" w:rsidRPr="00345A9B" w:rsidRDefault="002D59D8" w:rsidP="002D59D8">
      <w:pPr>
        <w:keepNext/>
        <w:widowControl w:val="0"/>
        <w:rPr>
          <w:color w:val="FF0000"/>
        </w:rPr>
      </w:pPr>
      <w:r w:rsidRPr="00345A9B">
        <w:rPr>
          <w:color w:val="FF0000"/>
        </w:rPr>
        <w:t xml:space="preserve">General description of the objectives and aspirations of the </w:t>
      </w:r>
      <w:r>
        <w:rPr>
          <w:color w:val="FF0000"/>
        </w:rPr>
        <w:t xml:space="preserve">fitout </w:t>
      </w:r>
      <w:r w:rsidRPr="00345A9B">
        <w:rPr>
          <w:color w:val="FF0000"/>
        </w:rPr>
        <w:t xml:space="preserve">project both in terms of the product and the related improvements in service delivery or its design excellence and the process in terms of its timeliness or cost or relationships. </w:t>
      </w:r>
    </w:p>
    <w:p w:rsidR="002D59D8" w:rsidRPr="00687041" w:rsidRDefault="002D59D8" w:rsidP="002D59D8">
      <w:pPr>
        <w:pStyle w:val="Heading2"/>
        <w:widowControl w:val="0"/>
      </w:pPr>
      <w:bookmarkStart w:id="102" w:name="_Toc521840922"/>
      <w:bookmarkStart w:id="103" w:name="_Toc522510680"/>
      <w:bookmarkStart w:id="104" w:name="_Toc524436676"/>
      <w:bookmarkStart w:id="105" w:name="_Toc524436806"/>
      <w:bookmarkStart w:id="106" w:name="_Toc525991812"/>
      <w:bookmarkStart w:id="107" w:name="_Toc335385632"/>
      <w:bookmarkStart w:id="108" w:name="_Toc338932502"/>
      <w:bookmarkStart w:id="109" w:name="_Toc388515633"/>
      <w:r w:rsidRPr="00687041">
        <w:t xml:space="preserve">Current </w:t>
      </w:r>
      <w:r w:rsidR="001033E9">
        <w:t>S</w:t>
      </w:r>
      <w:r w:rsidRPr="00687041">
        <w:t>tatus</w:t>
      </w:r>
      <w:bookmarkEnd w:id="102"/>
      <w:bookmarkEnd w:id="103"/>
      <w:bookmarkEnd w:id="104"/>
      <w:bookmarkEnd w:id="105"/>
      <w:bookmarkEnd w:id="106"/>
      <w:bookmarkEnd w:id="107"/>
      <w:bookmarkEnd w:id="108"/>
      <w:bookmarkEnd w:id="109"/>
    </w:p>
    <w:p w:rsidR="002D59D8" w:rsidRDefault="002D59D8" w:rsidP="002D59D8">
      <w:pPr>
        <w:keepNext/>
        <w:widowControl w:val="0"/>
      </w:pPr>
      <w:r w:rsidRPr="00345A9B">
        <w:rPr>
          <w:color w:val="FF0000"/>
        </w:rPr>
        <w:t>General description of</w:t>
      </w:r>
      <w:r>
        <w:rPr>
          <w:color w:val="FF0000"/>
        </w:rPr>
        <w:t xml:space="preserve"> current status.</w:t>
      </w:r>
    </w:p>
    <w:p w:rsidR="00735986" w:rsidRPr="002704FA" w:rsidRDefault="00735986" w:rsidP="006912C4">
      <w:pPr>
        <w:pStyle w:val="Heading2"/>
      </w:pPr>
      <w:bookmarkStart w:id="110" w:name="_Toc297225792"/>
      <w:bookmarkStart w:id="111" w:name="_Toc297276860"/>
      <w:bookmarkStart w:id="112" w:name="_Toc332905963"/>
      <w:bookmarkStart w:id="113" w:name="_Toc388515634"/>
      <w:r w:rsidRPr="002704FA">
        <w:t>Budget</w:t>
      </w:r>
      <w:bookmarkEnd w:id="110"/>
      <w:bookmarkEnd w:id="111"/>
      <w:bookmarkEnd w:id="112"/>
      <w:bookmarkEnd w:id="113"/>
    </w:p>
    <w:p w:rsidR="00735986" w:rsidRPr="002704FA" w:rsidRDefault="00735986" w:rsidP="006912C4">
      <w:pPr>
        <w:pStyle w:val="BodyText"/>
        <w:keepNext/>
      </w:pPr>
      <w:r w:rsidRPr="002704FA">
        <w:t>Below is an indicative breakdown of the project budget of $</w:t>
      </w:r>
      <w:r w:rsidRPr="002704FA">
        <w:rPr>
          <w:color w:val="FF0000"/>
        </w:rPr>
        <w:t>00,000</w:t>
      </w:r>
      <w:r w:rsidRPr="002704FA">
        <w:t>.</w:t>
      </w:r>
    </w:p>
    <w:tbl>
      <w:tblPr>
        <w:tblW w:w="9072" w:type="dxa"/>
        <w:tblInd w:w="108" w:type="dxa"/>
        <w:tblBorders>
          <w:bottom w:val="single" w:sz="4" w:space="0" w:color="auto"/>
        </w:tblBorders>
        <w:tblLayout w:type="fixed"/>
        <w:tblLook w:val="0000"/>
      </w:tblPr>
      <w:tblGrid>
        <w:gridCol w:w="6237"/>
        <w:gridCol w:w="2835"/>
      </w:tblGrid>
      <w:tr w:rsidR="00735986" w:rsidRPr="002704FA" w:rsidTr="00735986">
        <w:tblPrEx>
          <w:tblCellMar>
            <w:top w:w="0" w:type="dxa"/>
            <w:bottom w:w="0" w:type="dxa"/>
          </w:tblCellMar>
        </w:tblPrEx>
        <w:trPr>
          <w:tblHeader/>
        </w:trPr>
        <w:tc>
          <w:tcPr>
            <w:tcW w:w="6237" w:type="dxa"/>
            <w:tcBorders>
              <w:top w:val="nil"/>
              <w:left w:val="nil"/>
              <w:bottom w:val="nil"/>
              <w:right w:val="nil"/>
            </w:tcBorders>
            <w:shd w:val="clear" w:color="auto" w:fill="E6E6E6"/>
          </w:tcPr>
          <w:p w:rsidR="00735986" w:rsidRPr="002704FA" w:rsidRDefault="00735986" w:rsidP="006912C4">
            <w:pPr>
              <w:keepNext/>
              <w:widowControl w:val="0"/>
              <w:suppressLineNumbers/>
              <w:spacing w:before="80" w:after="20"/>
              <w:ind w:left="459"/>
            </w:pPr>
            <w:r w:rsidRPr="002704FA">
              <w:rPr>
                <w:b/>
                <w:bCs/>
              </w:rPr>
              <w:t>Budget Component</w:t>
            </w:r>
          </w:p>
        </w:tc>
        <w:tc>
          <w:tcPr>
            <w:tcW w:w="2835" w:type="dxa"/>
            <w:tcBorders>
              <w:top w:val="nil"/>
              <w:left w:val="nil"/>
              <w:bottom w:val="nil"/>
              <w:right w:val="nil"/>
            </w:tcBorders>
            <w:shd w:val="clear" w:color="auto" w:fill="E6E6E6"/>
          </w:tcPr>
          <w:p w:rsidR="00735986" w:rsidRPr="002704FA" w:rsidRDefault="00735986" w:rsidP="006912C4">
            <w:pPr>
              <w:keepNext/>
              <w:widowControl w:val="0"/>
              <w:suppressLineNumbers/>
              <w:spacing w:before="80" w:after="20"/>
              <w:rPr>
                <w:b/>
                <w:bCs/>
              </w:rPr>
            </w:pPr>
            <w:r w:rsidRPr="002704FA">
              <w:rPr>
                <w:b/>
                <w:bCs/>
              </w:rPr>
              <w:t>Budget Sum ($)</w:t>
            </w:r>
          </w:p>
        </w:tc>
      </w:tr>
      <w:tr w:rsidR="00735986" w:rsidRPr="00C4731E" w:rsidTr="00735986">
        <w:tblPrEx>
          <w:tblCellMar>
            <w:top w:w="0" w:type="dxa"/>
            <w:bottom w:w="0" w:type="dxa"/>
          </w:tblCellMar>
        </w:tblPrEx>
        <w:tc>
          <w:tcPr>
            <w:tcW w:w="6237" w:type="dxa"/>
            <w:tcBorders>
              <w:top w:val="nil"/>
              <w:left w:val="nil"/>
              <w:bottom w:val="nil"/>
              <w:right w:val="nil"/>
            </w:tcBorders>
          </w:tcPr>
          <w:p w:rsidR="00735986" w:rsidRPr="00C4731E" w:rsidRDefault="002D59D8" w:rsidP="002D59D8">
            <w:pPr>
              <w:keepNext/>
              <w:widowControl w:val="0"/>
              <w:suppressLineNumbers/>
              <w:spacing w:before="80" w:after="20"/>
              <w:ind w:left="459"/>
              <w:rPr>
                <w:bCs/>
              </w:rPr>
            </w:pPr>
            <w:r>
              <w:rPr>
                <w:bCs/>
              </w:rPr>
              <w:t>Fit</w:t>
            </w:r>
            <w:r w:rsidR="00AE39B0">
              <w:rPr>
                <w:bCs/>
              </w:rPr>
              <w:t>-</w:t>
            </w:r>
            <w:r>
              <w:rPr>
                <w:bCs/>
              </w:rPr>
              <w:t>out</w:t>
            </w:r>
          </w:p>
        </w:tc>
        <w:tc>
          <w:tcPr>
            <w:tcW w:w="2835" w:type="dxa"/>
            <w:tcBorders>
              <w:top w:val="nil"/>
              <w:left w:val="nil"/>
              <w:bottom w:val="nil"/>
              <w:right w:val="nil"/>
            </w:tcBorders>
          </w:tcPr>
          <w:p w:rsidR="00735986" w:rsidRPr="00C4731E" w:rsidRDefault="00735986" w:rsidP="006912C4">
            <w:pPr>
              <w:keepNext/>
              <w:widowControl w:val="0"/>
              <w:suppressLineNumbers/>
              <w:spacing w:before="80" w:after="20"/>
            </w:pPr>
          </w:p>
        </w:tc>
      </w:tr>
      <w:tr w:rsidR="002D59D8" w:rsidRPr="00C4731E" w:rsidTr="002D59D8">
        <w:tblPrEx>
          <w:tblCellMar>
            <w:top w:w="0" w:type="dxa"/>
            <w:bottom w:w="0" w:type="dxa"/>
          </w:tblCellMar>
        </w:tblPrEx>
        <w:tc>
          <w:tcPr>
            <w:tcW w:w="6237" w:type="dxa"/>
            <w:tcBorders>
              <w:top w:val="nil"/>
              <w:left w:val="nil"/>
              <w:bottom w:val="nil"/>
              <w:right w:val="nil"/>
            </w:tcBorders>
          </w:tcPr>
          <w:p w:rsidR="002D59D8" w:rsidRPr="00C4731E" w:rsidRDefault="002D59D8" w:rsidP="002D59D8">
            <w:pPr>
              <w:keepNext/>
              <w:widowControl w:val="0"/>
              <w:suppressLineNumbers/>
              <w:spacing w:before="80" w:after="20"/>
              <w:ind w:left="459"/>
              <w:rPr>
                <w:bCs/>
              </w:rPr>
            </w:pPr>
            <w:r>
              <w:rPr>
                <w:bCs/>
              </w:rPr>
              <w:t>FF&amp;E</w:t>
            </w:r>
          </w:p>
        </w:tc>
        <w:tc>
          <w:tcPr>
            <w:tcW w:w="2835" w:type="dxa"/>
            <w:tcBorders>
              <w:top w:val="nil"/>
              <w:left w:val="nil"/>
              <w:bottom w:val="nil"/>
              <w:right w:val="nil"/>
            </w:tcBorders>
          </w:tcPr>
          <w:p w:rsidR="002D59D8" w:rsidRPr="00C4731E" w:rsidRDefault="002D59D8" w:rsidP="002D59D8">
            <w:pPr>
              <w:keepNext/>
              <w:widowControl w:val="0"/>
              <w:suppressLineNumbers/>
              <w:spacing w:before="80" w:after="20"/>
            </w:pPr>
          </w:p>
        </w:tc>
      </w:tr>
      <w:tr w:rsidR="002D59D8" w:rsidRPr="00C4731E" w:rsidTr="002D59D8">
        <w:tblPrEx>
          <w:tblCellMar>
            <w:top w:w="0" w:type="dxa"/>
            <w:bottom w:w="0" w:type="dxa"/>
          </w:tblCellMar>
        </w:tblPrEx>
        <w:tc>
          <w:tcPr>
            <w:tcW w:w="6237" w:type="dxa"/>
            <w:tcBorders>
              <w:top w:val="nil"/>
              <w:left w:val="nil"/>
              <w:bottom w:val="nil"/>
              <w:right w:val="nil"/>
            </w:tcBorders>
          </w:tcPr>
          <w:p w:rsidR="002D59D8" w:rsidRPr="00C4731E" w:rsidRDefault="002D59D8" w:rsidP="002D59D8">
            <w:pPr>
              <w:keepNext/>
              <w:widowControl w:val="0"/>
              <w:suppressLineNumbers/>
              <w:spacing w:before="80" w:after="20"/>
              <w:ind w:left="459"/>
              <w:rPr>
                <w:bCs/>
              </w:rPr>
            </w:pPr>
            <w:r w:rsidRPr="00C4731E">
              <w:rPr>
                <w:bCs/>
              </w:rPr>
              <w:t>Fees and disbursements</w:t>
            </w:r>
          </w:p>
        </w:tc>
        <w:tc>
          <w:tcPr>
            <w:tcW w:w="2835" w:type="dxa"/>
            <w:tcBorders>
              <w:top w:val="nil"/>
              <w:left w:val="nil"/>
              <w:bottom w:val="nil"/>
              <w:right w:val="nil"/>
            </w:tcBorders>
          </w:tcPr>
          <w:p w:rsidR="002D59D8" w:rsidRPr="00C4731E" w:rsidRDefault="002D59D8" w:rsidP="002D59D8">
            <w:pPr>
              <w:keepNext/>
              <w:widowControl w:val="0"/>
              <w:suppressLineNumbers/>
              <w:spacing w:before="80" w:after="20"/>
            </w:pPr>
          </w:p>
        </w:tc>
      </w:tr>
      <w:tr w:rsidR="00735986" w:rsidRPr="00C4731E" w:rsidTr="00735986">
        <w:tblPrEx>
          <w:tblCellMar>
            <w:top w:w="0" w:type="dxa"/>
            <w:bottom w:w="0" w:type="dxa"/>
          </w:tblCellMar>
        </w:tblPrEx>
        <w:tc>
          <w:tcPr>
            <w:tcW w:w="6237" w:type="dxa"/>
            <w:tcBorders>
              <w:top w:val="nil"/>
              <w:left w:val="nil"/>
              <w:bottom w:val="nil"/>
              <w:right w:val="nil"/>
            </w:tcBorders>
          </w:tcPr>
          <w:p w:rsidR="00735986" w:rsidRPr="00C4731E" w:rsidRDefault="00735986" w:rsidP="006912C4">
            <w:pPr>
              <w:keepNext/>
              <w:widowControl w:val="0"/>
              <w:suppressLineNumbers/>
              <w:spacing w:before="80" w:after="20"/>
              <w:ind w:left="459"/>
              <w:rPr>
                <w:bCs/>
              </w:rPr>
            </w:pPr>
            <w:r w:rsidRPr="00C4731E">
              <w:rPr>
                <w:bCs/>
              </w:rPr>
              <w:t>Other</w:t>
            </w:r>
          </w:p>
        </w:tc>
        <w:tc>
          <w:tcPr>
            <w:tcW w:w="2835" w:type="dxa"/>
            <w:tcBorders>
              <w:top w:val="nil"/>
              <w:left w:val="nil"/>
              <w:bottom w:val="nil"/>
              <w:right w:val="nil"/>
            </w:tcBorders>
          </w:tcPr>
          <w:p w:rsidR="00735986" w:rsidRPr="00C4731E" w:rsidRDefault="00735986" w:rsidP="006912C4">
            <w:pPr>
              <w:keepNext/>
              <w:widowControl w:val="0"/>
              <w:suppressLineNumbers/>
              <w:spacing w:before="80" w:after="20"/>
            </w:pPr>
          </w:p>
        </w:tc>
      </w:tr>
      <w:tr w:rsidR="00735986" w:rsidRPr="002704FA" w:rsidTr="00735986">
        <w:tblPrEx>
          <w:tblCellMar>
            <w:top w:w="0" w:type="dxa"/>
            <w:bottom w:w="0" w:type="dxa"/>
          </w:tblCellMar>
        </w:tblPrEx>
        <w:tc>
          <w:tcPr>
            <w:tcW w:w="6237" w:type="dxa"/>
            <w:tcBorders>
              <w:top w:val="nil"/>
              <w:left w:val="nil"/>
              <w:bottom w:val="nil"/>
              <w:right w:val="nil"/>
            </w:tcBorders>
          </w:tcPr>
          <w:p w:rsidR="00735986" w:rsidRPr="002704FA" w:rsidRDefault="00735986" w:rsidP="006912C4">
            <w:pPr>
              <w:keepNext/>
              <w:widowControl w:val="0"/>
              <w:suppressLineNumbers/>
              <w:spacing w:before="80" w:after="20"/>
              <w:ind w:left="459"/>
              <w:rPr>
                <w:b/>
                <w:bCs/>
              </w:rPr>
            </w:pPr>
            <w:r w:rsidRPr="002704FA">
              <w:rPr>
                <w:b/>
                <w:bCs/>
              </w:rPr>
              <w:t>Total Capital</w:t>
            </w:r>
          </w:p>
        </w:tc>
        <w:tc>
          <w:tcPr>
            <w:tcW w:w="2835" w:type="dxa"/>
            <w:tcBorders>
              <w:top w:val="nil"/>
              <w:left w:val="nil"/>
              <w:bottom w:val="nil"/>
              <w:right w:val="nil"/>
            </w:tcBorders>
          </w:tcPr>
          <w:p w:rsidR="00735986" w:rsidRPr="002704FA" w:rsidRDefault="00735986" w:rsidP="006912C4">
            <w:pPr>
              <w:keepNext/>
              <w:widowControl w:val="0"/>
              <w:suppressLineNumbers/>
              <w:spacing w:before="80" w:after="20"/>
            </w:pPr>
          </w:p>
        </w:tc>
      </w:tr>
      <w:tr w:rsidR="00735986" w:rsidRPr="002704FA" w:rsidTr="00735986">
        <w:tblPrEx>
          <w:tblCellMar>
            <w:top w:w="0" w:type="dxa"/>
            <w:bottom w:w="0" w:type="dxa"/>
          </w:tblCellMar>
        </w:tblPrEx>
        <w:tc>
          <w:tcPr>
            <w:tcW w:w="6237" w:type="dxa"/>
            <w:tcBorders>
              <w:top w:val="nil"/>
              <w:left w:val="nil"/>
              <w:bottom w:val="nil"/>
              <w:right w:val="nil"/>
            </w:tcBorders>
          </w:tcPr>
          <w:p w:rsidR="00735986" w:rsidRPr="002704FA" w:rsidRDefault="00735986" w:rsidP="006912C4">
            <w:pPr>
              <w:keepNext/>
              <w:widowControl w:val="0"/>
              <w:suppressLineNumbers/>
              <w:spacing w:before="80" w:after="20"/>
              <w:ind w:left="459"/>
              <w:rPr>
                <w:bCs/>
              </w:rPr>
            </w:pPr>
            <w:r w:rsidRPr="002704FA">
              <w:rPr>
                <w:bCs/>
              </w:rPr>
              <w:t>GST</w:t>
            </w:r>
          </w:p>
        </w:tc>
        <w:tc>
          <w:tcPr>
            <w:tcW w:w="2835" w:type="dxa"/>
            <w:tcBorders>
              <w:top w:val="nil"/>
              <w:left w:val="nil"/>
              <w:bottom w:val="nil"/>
              <w:right w:val="nil"/>
            </w:tcBorders>
          </w:tcPr>
          <w:p w:rsidR="00735986" w:rsidRPr="002704FA" w:rsidRDefault="00735986" w:rsidP="006912C4">
            <w:pPr>
              <w:keepNext/>
              <w:widowControl w:val="0"/>
              <w:suppressLineNumbers/>
              <w:spacing w:before="80" w:after="20"/>
            </w:pPr>
          </w:p>
        </w:tc>
      </w:tr>
      <w:tr w:rsidR="00735986" w:rsidRPr="002704FA" w:rsidTr="00735986">
        <w:tblPrEx>
          <w:tblCellMar>
            <w:top w:w="0" w:type="dxa"/>
            <w:bottom w:w="0" w:type="dxa"/>
          </w:tblCellMar>
        </w:tblPrEx>
        <w:tc>
          <w:tcPr>
            <w:tcW w:w="6237" w:type="dxa"/>
            <w:tcBorders>
              <w:top w:val="nil"/>
              <w:left w:val="nil"/>
              <w:bottom w:val="nil"/>
              <w:right w:val="nil"/>
            </w:tcBorders>
          </w:tcPr>
          <w:p w:rsidR="00735986" w:rsidRPr="002704FA" w:rsidRDefault="00735986" w:rsidP="006912C4">
            <w:pPr>
              <w:keepNext/>
              <w:widowControl w:val="0"/>
              <w:suppressLineNumbers/>
              <w:spacing w:before="80" w:after="20"/>
              <w:ind w:left="459"/>
              <w:rPr>
                <w:b/>
                <w:bCs/>
              </w:rPr>
            </w:pPr>
            <w:r w:rsidRPr="002704FA">
              <w:rPr>
                <w:b/>
                <w:bCs/>
              </w:rPr>
              <w:t>Total</w:t>
            </w:r>
          </w:p>
        </w:tc>
        <w:tc>
          <w:tcPr>
            <w:tcW w:w="2835" w:type="dxa"/>
            <w:tcBorders>
              <w:top w:val="nil"/>
              <w:left w:val="nil"/>
              <w:bottom w:val="nil"/>
              <w:right w:val="nil"/>
            </w:tcBorders>
          </w:tcPr>
          <w:p w:rsidR="00735986" w:rsidRPr="002704FA" w:rsidRDefault="00735986" w:rsidP="006912C4">
            <w:pPr>
              <w:keepNext/>
              <w:widowControl w:val="0"/>
              <w:suppressLineNumbers/>
              <w:spacing w:before="80" w:after="20"/>
            </w:pPr>
          </w:p>
        </w:tc>
      </w:tr>
    </w:tbl>
    <w:p w:rsidR="002D59D8" w:rsidRDefault="002D59D8" w:rsidP="002D59D8">
      <w:pPr>
        <w:pStyle w:val="Heading2"/>
        <w:widowControl w:val="0"/>
      </w:pPr>
      <w:bookmarkStart w:id="114" w:name="_Toc335385635"/>
      <w:bookmarkStart w:id="115" w:name="_Toc338932505"/>
      <w:bookmarkStart w:id="116" w:name="_Toc388515635"/>
      <w:bookmarkStart w:id="117" w:name="_Toc297225793"/>
      <w:bookmarkStart w:id="118" w:name="_Toc297276861"/>
      <w:bookmarkStart w:id="119" w:name="_Toc332905964"/>
      <w:r w:rsidRPr="00687041">
        <w:t>Program</w:t>
      </w:r>
      <w:bookmarkEnd w:id="114"/>
      <w:bookmarkEnd w:id="115"/>
      <w:bookmarkEnd w:id="116"/>
    </w:p>
    <w:p w:rsidR="002D59D8" w:rsidRDefault="002D59D8" w:rsidP="002D59D8">
      <w:pPr>
        <w:pStyle w:val="BodyText"/>
        <w:keepNext/>
        <w:tabs>
          <w:tab w:val="right" w:pos="8931"/>
        </w:tabs>
        <w:ind w:right="1699"/>
      </w:pPr>
      <w:r>
        <w:t>Completion of initial investigations and presentation of draft report</w:t>
      </w:r>
      <w:r>
        <w:tab/>
      </w:r>
      <w:r>
        <w:rPr>
          <w:color w:val="FF0000"/>
        </w:rPr>
        <w:t>date</w:t>
      </w:r>
    </w:p>
    <w:p w:rsidR="002D59D8" w:rsidRDefault="002D59D8" w:rsidP="002D59D8">
      <w:pPr>
        <w:pStyle w:val="BodyText"/>
        <w:keepNext/>
        <w:tabs>
          <w:tab w:val="right" w:pos="8931"/>
        </w:tabs>
        <w:ind w:right="1699"/>
      </w:pPr>
      <w:r>
        <w:t>Agency comments on draft initial analysis report</w:t>
      </w:r>
      <w:r>
        <w:tab/>
      </w:r>
      <w:r w:rsidRPr="006912C4">
        <w:rPr>
          <w:color w:val="FF0000"/>
        </w:rPr>
        <w:t>date</w:t>
      </w:r>
    </w:p>
    <w:p w:rsidR="002D59D8" w:rsidRDefault="002D59D8" w:rsidP="002D59D8">
      <w:pPr>
        <w:pStyle w:val="BodyText"/>
        <w:keepNext/>
        <w:tabs>
          <w:tab w:val="right" w:pos="8931"/>
        </w:tabs>
        <w:ind w:right="1699"/>
      </w:pPr>
      <w:r>
        <w:t>Presentation of final assessment of agency needs report</w:t>
      </w:r>
      <w:r>
        <w:tab/>
      </w:r>
      <w:r w:rsidRPr="006912C4">
        <w:rPr>
          <w:color w:val="FF0000"/>
        </w:rPr>
        <w:t>date</w:t>
      </w:r>
    </w:p>
    <w:p w:rsidR="002D59D8" w:rsidRDefault="002D59D8" w:rsidP="002D59D8">
      <w:pPr>
        <w:pStyle w:val="BodyText"/>
        <w:keepNext/>
        <w:tabs>
          <w:tab w:val="right" w:pos="8931"/>
        </w:tabs>
        <w:ind w:right="1699"/>
      </w:pPr>
      <w:r>
        <w:t xml:space="preserve">Approval to proceed to future accommodation options and recommendations </w:t>
      </w:r>
      <w:r>
        <w:tab/>
      </w:r>
      <w:r w:rsidRPr="006912C4">
        <w:rPr>
          <w:color w:val="FF0000"/>
        </w:rPr>
        <w:t>date</w:t>
      </w:r>
    </w:p>
    <w:p w:rsidR="002D59D8" w:rsidRDefault="002D59D8" w:rsidP="002D59D8">
      <w:pPr>
        <w:pStyle w:val="BodyText"/>
        <w:keepNext/>
        <w:tabs>
          <w:tab w:val="right" w:pos="8931"/>
        </w:tabs>
        <w:ind w:right="1699"/>
      </w:pPr>
      <w:r>
        <w:t xml:space="preserve">Presentation of draft future accommodation </w:t>
      </w:r>
    </w:p>
    <w:p w:rsidR="002D59D8" w:rsidRDefault="002D59D8" w:rsidP="002D59D8">
      <w:pPr>
        <w:pStyle w:val="BodyText"/>
        <w:keepNext/>
        <w:tabs>
          <w:tab w:val="right" w:pos="8931"/>
        </w:tabs>
        <w:ind w:right="1699"/>
      </w:pPr>
      <w:r>
        <w:t>Options and recommendations report</w:t>
      </w:r>
      <w:r>
        <w:tab/>
      </w:r>
      <w:r w:rsidRPr="006912C4">
        <w:rPr>
          <w:color w:val="FF0000"/>
        </w:rPr>
        <w:t>date</w:t>
      </w:r>
    </w:p>
    <w:p w:rsidR="002D59D8" w:rsidRDefault="002D59D8" w:rsidP="002D59D8">
      <w:pPr>
        <w:pStyle w:val="BodyText"/>
        <w:keepNext/>
        <w:tabs>
          <w:tab w:val="right" w:pos="8931"/>
        </w:tabs>
        <w:ind w:right="1699"/>
      </w:pPr>
      <w:r>
        <w:t>Agency comments on draft report and approval to complete the consolidated final report</w:t>
      </w:r>
      <w:r>
        <w:tab/>
      </w:r>
      <w:r w:rsidRPr="006912C4">
        <w:rPr>
          <w:color w:val="FF0000"/>
        </w:rPr>
        <w:t>date</w:t>
      </w:r>
    </w:p>
    <w:p w:rsidR="002D59D8" w:rsidRDefault="002D59D8" w:rsidP="002D59D8">
      <w:pPr>
        <w:pStyle w:val="BodyText"/>
        <w:keepNext/>
        <w:tabs>
          <w:tab w:val="right" w:pos="8931"/>
        </w:tabs>
        <w:ind w:right="1699"/>
      </w:pPr>
      <w:r>
        <w:t>Presentation of consolidated final report</w:t>
      </w:r>
      <w:r>
        <w:tab/>
      </w:r>
      <w:r w:rsidRPr="006912C4">
        <w:rPr>
          <w:color w:val="FF0000"/>
        </w:rPr>
        <w:t>date</w:t>
      </w:r>
    </w:p>
    <w:p w:rsidR="002D59D8" w:rsidRPr="00687041" w:rsidRDefault="002D59D8" w:rsidP="002D59D8">
      <w:pPr>
        <w:pStyle w:val="Heading2"/>
        <w:widowControl w:val="0"/>
      </w:pPr>
      <w:bookmarkStart w:id="120" w:name="_Toc521840923"/>
      <w:bookmarkStart w:id="121" w:name="_Toc522510681"/>
      <w:bookmarkStart w:id="122" w:name="_Toc524436677"/>
      <w:bookmarkStart w:id="123" w:name="_Toc524436807"/>
      <w:bookmarkStart w:id="124" w:name="_Toc525991813"/>
      <w:bookmarkStart w:id="125" w:name="_Toc297225791"/>
      <w:bookmarkStart w:id="126" w:name="_Toc335385633"/>
      <w:bookmarkStart w:id="127" w:name="_Toc338932503"/>
      <w:bookmarkStart w:id="128" w:name="_Toc388515636"/>
      <w:r w:rsidRPr="00687041">
        <w:t xml:space="preserve">Project </w:t>
      </w:r>
      <w:r w:rsidR="001033E9">
        <w:t>O</w:t>
      </w:r>
      <w:r w:rsidRPr="00687041">
        <w:t>rganisation</w:t>
      </w:r>
      <w:bookmarkEnd w:id="120"/>
      <w:bookmarkEnd w:id="121"/>
      <w:bookmarkEnd w:id="122"/>
      <w:bookmarkEnd w:id="123"/>
      <w:bookmarkEnd w:id="124"/>
      <w:bookmarkEnd w:id="125"/>
      <w:bookmarkEnd w:id="126"/>
      <w:bookmarkEnd w:id="127"/>
      <w:bookmarkEnd w:id="128"/>
    </w:p>
    <w:p w:rsidR="002D59D8" w:rsidRPr="0072547A" w:rsidRDefault="002D59D8" w:rsidP="002D59D8">
      <w:pPr>
        <w:keepNext/>
        <w:widowControl w:val="0"/>
      </w:pPr>
      <w:r>
        <w:t xml:space="preserve">A </w:t>
      </w:r>
      <w:r w:rsidRPr="0072547A">
        <w:t xml:space="preserve">Project Control Group </w:t>
      </w:r>
      <w:r>
        <w:t>will be established including the:</w:t>
      </w:r>
    </w:p>
    <w:p w:rsidR="002D59D8" w:rsidRPr="0072547A" w:rsidRDefault="002D59D8" w:rsidP="002D59D8">
      <w:pPr>
        <w:keepNext/>
        <w:widowControl w:val="0"/>
        <w:numPr>
          <w:ilvl w:val="0"/>
          <w:numId w:val="29"/>
        </w:numPr>
        <w:ind w:left="567" w:hanging="567"/>
      </w:pPr>
      <w:r w:rsidRPr="0072547A">
        <w:t>D</w:t>
      </w:r>
      <w:r>
        <w:t xml:space="preserve">PTI Project </w:t>
      </w:r>
      <w:r w:rsidRPr="0072547A">
        <w:t>Risk Manager</w:t>
      </w:r>
      <w:r>
        <w:t xml:space="preserve"> </w:t>
      </w:r>
    </w:p>
    <w:p w:rsidR="002D59D8" w:rsidRPr="0072547A" w:rsidRDefault="002D59D8" w:rsidP="002D59D8">
      <w:pPr>
        <w:keepNext/>
        <w:widowControl w:val="0"/>
        <w:numPr>
          <w:ilvl w:val="0"/>
          <w:numId w:val="29"/>
        </w:numPr>
        <w:ind w:left="567" w:hanging="567"/>
      </w:pPr>
      <w:r w:rsidRPr="00345A9B">
        <w:rPr>
          <w:color w:val="FF0000"/>
        </w:rPr>
        <w:t>DECD</w:t>
      </w:r>
      <w:r>
        <w:t xml:space="preserve"> Representative</w:t>
      </w:r>
    </w:p>
    <w:p w:rsidR="002D59D8" w:rsidRDefault="002D59D8" w:rsidP="002D59D8">
      <w:pPr>
        <w:keepNext/>
        <w:widowControl w:val="0"/>
        <w:numPr>
          <w:ilvl w:val="0"/>
          <w:numId w:val="29"/>
        </w:numPr>
        <w:ind w:left="567" w:hanging="567"/>
      </w:pPr>
      <w:r w:rsidRPr="00345A9B">
        <w:rPr>
          <w:color w:val="FF0000"/>
        </w:rPr>
        <w:t>DECD</w:t>
      </w:r>
      <w:r>
        <w:t xml:space="preserve"> </w:t>
      </w:r>
      <w:r w:rsidRPr="0072547A">
        <w:t>Site Leader</w:t>
      </w:r>
    </w:p>
    <w:p w:rsidR="002D59D8" w:rsidRPr="001A520F" w:rsidRDefault="002D59D8" w:rsidP="002D59D8">
      <w:pPr>
        <w:keepNext/>
        <w:widowControl w:val="0"/>
        <w:numPr>
          <w:ilvl w:val="0"/>
          <w:numId w:val="29"/>
        </w:numPr>
        <w:tabs>
          <w:tab w:val="num" w:pos="567"/>
        </w:tabs>
        <w:ind w:left="567" w:hanging="567"/>
        <w:jc w:val="left"/>
      </w:pPr>
      <w:r>
        <w:t>appointed Contractor.</w:t>
      </w:r>
    </w:p>
    <w:p w:rsidR="002D59D8" w:rsidRPr="00BE6847" w:rsidRDefault="002D59D8" w:rsidP="002D59D8">
      <w:pPr>
        <w:keepNext/>
        <w:widowControl w:val="0"/>
      </w:pPr>
      <w:r w:rsidRPr="00BE6847">
        <w:t xml:space="preserve">Key stakeholders/contacts at the </w:t>
      </w:r>
      <w:r w:rsidR="00D44905">
        <w:t xml:space="preserve">asset </w:t>
      </w:r>
      <w:r w:rsidRPr="00BE6847">
        <w:t>site are:</w:t>
      </w:r>
    </w:p>
    <w:p w:rsidR="002D59D8" w:rsidRPr="0072547A" w:rsidRDefault="002D59D8" w:rsidP="002D59D8">
      <w:pPr>
        <w:keepNext/>
        <w:widowControl w:val="0"/>
        <w:numPr>
          <w:ilvl w:val="0"/>
          <w:numId w:val="29"/>
        </w:numPr>
        <w:tabs>
          <w:tab w:val="left" w:pos="567"/>
          <w:tab w:val="right" w:pos="7371"/>
        </w:tabs>
        <w:ind w:left="567" w:hanging="567"/>
      </w:pPr>
      <w:r w:rsidRPr="00345A9B">
        <w:rPr>
          <w:color w:val="FF0000"/>
        </w:rPr>
        <w:t>Name</w:t>
      </w:r>
      <w:r>
        <w:tab/>
        <w:t xml:space="preserve">Phone Number:  </w:t>
      </w:r>
      <w:r w:rsidRPr="00345A9B">
        <w:rPr>
          <w:color w:val="FF0000"/>
        </w:rPr>
        <w:t>XXXXXX</w:t>
      </w:r>
    </w:p>
    <w:p w:rsidR="002D59D8" w:rsidRPr="0072547A" w:rsidRDefault="002D59D8" w:rsidP="002D59D8">
      <w:pPr>
        <w:keepNext/>
        <w:widowControl w:val="0"/>
        <w:numPr>
          <w:ilvl w:val="0"/>
          <w:numId w:val="29"/>
        </w:numPr>
        <w:tabs>
          <w:tab w:val="left" w:pos="567"/>
          <w:tab w:val="right" w:pos="7371"/>
        </w:tabs>
        <w:ind w:left="567" w:hanging="567"/>
      </w:pPr>
      <w:r w:rsidRPr="00345A9B">
        <w:rPr>
          <w:color w:val="FF0000"/>
        </w:rPr>
        <w:t>Name</w:t>
      </w:r>
      <w:r>
        <w:tab/>
        <w:t xml:space="preserve">Phone Number:  </w:t>
      </w:r>
      <w:r w:rsidRPr="00345A9B">
        <w:rPr>
          <w:color w:val="FF0000"/>
        </w:rPr>
        <w:t>XXXXXX</w:t>
      </w:r>
    </w:p>
    <w:p w:rsidR="002D59D8" w:rsidRDefault="002D59D8" w:rsidP="002D59D8">
      <w:pPr>
        <w:keepNext/>
        <w:widowControl w:val="0"/>
      </w:pPr>
    </w:p>
    <w:p w:rsidR="002D59D8" w:rsidRPr="00687041" w:rsidRDefault="002D59D8" w:rsidP="002D59D8">
      <w:pPr>
        <w:pStyle w:val="Heading2"/>
        <w:widowControl w:val="0"/>
      </w:pPr>
      <w:bookmarkStart w:id="129" w:name="_Toc521840930"/>
      <w:bookmarkStart w:id="130" w:name="_Toc522510686"/>
      <w:bookmarkStart w:id="131" w:name="_Toc524436682"/>
      <w:bookmarkStart w:id="132" w:name="_Toc524436812"/>
      <w:bookmarkStart w:id="133" w:name="_Toc525991818"/>
      <w:bookmarkStart w:id="134" w:name="_Toc297225796"/>
      <w:bookmarkStart w:id="135" w:name="_Toc335385638"/>
      <w:bookmarkStart w:id="136" w:name="_Toc338932506"/>
      <w:bookmarkStart w:id="137" w:name="_Toc388515637"/>
      <w:r w:rsidRPr="00687041">
        <w:t xml:space="preserve">Role of </w:t>
      </w:r>
      <w:r>
        <w:t>DPTI</w:t>
      </w:r>
      <w:bookmarkEnd w:id="129"/>
      <w:bookmarkEnd w:id="130"/>
      <w:bookmarkEnd w:id="131"/>
      <w:bookmarkEnd w:id="132"/>
      <w:bookmarkEnd w:id="133"/>
      <w:bookmarkEnd w:id="134"/>
      <w:bookmarkEnd w:id="135"/>
      <w:bookmarkEnd w:id="136"/>
      <w:bookmarkEnd w:id="137"/>
    </w:p>
    <w:p w:rsidR="002D59D8" w:rsidRDefault="002D59D8" w:rsidP="002D59D8">
      <w:pPr>
        <w:keepNext/>
        <w:widowControl w:val="0"/>
      </w:pPr>
      <w:r>
        <w:t xml:space="preserve">Refer to the guide notes in the BPIMS Project Library at </w:t>
      </w:r>
      <w:hyperlink r:id="rId8" w:history="1">
        <w:r w:rsidRPr="00DB2CBD">
          <w:rPr>
            <w:rStyle w:val="Hyperlink"/>
          </w:rPr>
          <w:t>http://www.bpims.sa.gov.au/bpims/library/library_frameset_1.htm</w:t>
        </w:r>
      </w:hyperlink>
      <w:r>
        <w:t xml:space="preserve"> for a detailed description of the role of DPTI.</w:t>
      </w:r>
    </w:p>
    <w:p w:rsidR="002D59D8" w:rsidRDefault="002D59D8" w:rsidP="002D59D8">
      <w:pPr>
        <w:keepNext/>
        <w:widowControl w:val="0"/>
      </w:pPr>
      <w:r>
        <w:t>The DPTI role, coordinated by the project risk manager, will include project overview, support and advice to the project team on government policy and procedures and facilitation of project approvals and engagements.</w:t>
      </w:r>
      <w:bookmarkEnd w:id="85"/>
      <w:bookmarkEnd w:id="86"/>
      <w:bookmarkEnd w:id="87"/>
      <w:bookmarkEnd w:id="88"/>
      <w:bookmarkEnd w:id="89"/>
      <w:bookmarkEnd w:id="117"/>
      <w:bookmarkEnd w:id="118"/>
      <w:bookmarkEnd w:id="119"/>
    </w:p>
    <w:sectPr w:rsidR="002D59D8" w:rsidSect="00456169">
      <w:headerReference w:type="default" r:id="rId9"/>
      <w:foot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E9" w:rsidRDefault="00D976E9">
      <w:r>
        <w:separator/>
      </w:r>
    </w:p>
  </w:endnote>
  <w:endnote w:type="continuationSeparator" w:id="0">
    <w:p w:rsidR="00D976E9" w:rsidRDefault="00D976E9">
      <w:r>
        <w:continuationSeparator/>
      </w:r>
    </w:p>
  </w:endnote>
</w:endnotes>
</file>

<file path=word/fontTable.xml><?xml version="1.0" encoding="utf-8"?>
<w:fonts xmlns:r="http://schemas.openxmlformats.org/officeDocument/2006/relationships" xmlns:w="http://schemas.openxmlformats.org/wordprocessingml/2006/main">
  <w:font w:name="Arial Bold">
    <w:altName w:val="Arial"/>
    <w:panose1 w:val="020B0704020202020204"/>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05" w:rsidRPr="00E874E1" w:rsidRDefault="00D44905" w:rsidP="00D44905">
    <w:pPr>
      <w:pStyle w:val="Footer"/>
      <w:tabs>
        <w:tab w:val="left" w:pos="5529"/>
        <w:tab w:val="right" w:pos="8931"/>
      </w:tabs>
      <w:spacing w:after="0"/>
      <w:ind w:left="567"/>
      <w:jc w:val="right"/>
      <w:rPr>
        <w:color w:val="FF0000"/>
        <w:sz w:val="16"/>
        <w:szCs w:val="16"/>
      </w:rPr>
    </w:pPr>
    <w:r w:rsidRPr="00E874E1">
      <w:rPr>
        <w:color w:val="FF0000"/>
        <w:sz w:val="16"/>
        <w:szCs w:val="16"/>
      </w:rPr>
      <w:t>Project Name</w:t>
    </w:r>
  </w:p>
  <w:p w:rsidR="002D59D8" w:rsidRPr="00D44905" w:rsidRDefault="00D44905" w:rsidP="00D44905">
    <w:pPr>
      <w:pStyle w:val="Footer"/>
      <w:tabs>
        <w:tab w:val="left" w:pos="5529"/>
        <w:tab w:val="right" w:pos="8931"/>
      </w:tabs>
      <w:ind w:left="567"/>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9A1CA7">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9A1CA7">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E9" w:rsidRDefault="00D976E9">
      <w:r>
        <w:separator/>
      </w:r>
    </w:p>
  </w:footnote>
  <w:footnote w:type="continuationSeparator" w:id="0">
    <w:p w:rsidR="00D976E9" w:rsidRDefault="00D97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D8" w:rsidRDefault="002D59D8">
    <w:pPr>
      <w:pStyle w:val="Header"/>
      <w:jc w:val="center"/>
    </w:pPr>
  </w:p>
  <w:p w:rsidR="002D59D8" w:rsidRPr="00B97B10" w:rsidRDefault="002D59D8" w:rsidP="00B97B10">
    <w:pPr>
      <w:pStyle w:val="Header"/>
      <w:rPr>
        <w:rStyle w:val="PageNumber"/>
        <w:rFonts w:cs="Arial"/>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D2877"/>
    <w:multiLevelType w:val="multilevel"/>
    <w:tmpl w:val="C854DA70"/>
    <w:lvl w:ilvl="0">
      <w:start w:val="1"/>
      <w:numFmt w:val="decimal"/>
      <w:pStyle w:val="Heading1"/>
      <w:lvlText w:val="Schedule %1"/>
      <w:lvlJc w:val="left"/>
      <w:pPr>
        <w:ind w:left="432" w:hanging="432"/>
      </w:pPr>
      <w:rPr>
        <w:rFonts w:ascii="Arial Bold" w:hAnsi="Arial Bold" w:cs="Times New Roman" w:hint="default"/>
        <w:b/>
        <w:i w:val="0"/>
        <w:caps/>
        <w:sz w:val="24"/>
      </w:rPr>
    </w:lvl>
    <w:lvl w:ilvl="1">
      <w:start w:val="1"/>
      <w:numFmt w:val="decimal"/>
      <w:pStyle w:val="Heading2"/>
      <w:lvlText w:val="%1.%2"/>
      <w:lvlJc w:val="left"/>
      <w:pPr>
        <w:ind w:left="567" w:hanging="567"/>
      </w:pPr>
      <w:rPr>
        <w:rFonts w:ascii="Arial Bold" w:hAnsi="Arial Bold" w:cs="Times New Roman" w:hint="default"/>
        <w:b/>
        <w:i w:val="0"/>
        <w:sz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nsid w:val="4CF529C5"/>
    <w:multiLevelType w:val="multilevel"/>
    <w:tmpl w:val="B36CCB4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nsid w:val="5FD40A0A"/>
    <w:multiLevelType w:val="multilevel"/>
    <w:tmpl w:val="CB2E5BD4"/>
    <w:lvl w:ilvl="0">
      <w:start w:val="3"/>
      <w:numFmt w:val="decimal"/>
      <w:lvlText w:val="%1."/>
      <w:lvlJc w:val="left"/>
      <w:pPr>
        <w:tabs>
          <w:tab w:val="num" w:pos="36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
    <w:nsid w:val="63045F3F"/>
    <w:multiLevelType w:val="multilevel"/>
    <w:tmpl w:val="BC50E5E4"/>
    <w:lvl w:ilvl="0">
      <w:start w:val="1"/>
      <w:numFmt w:val="decimal"/>
      <w:lvlText w:val="%1."/>
      <w:lvlJc w:val="left"/>
      <w:pPr>
        <w:tabs>
          <w:tab w:val="num" w:pos="360"/>
        </w:tabs>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nsid w:val="6559472B"/>
    <w:multiLevelType w:val="singleLevel"/>
    <w:tmpl w:val="CEECBF8C"/>
    <w:lvl w:ilvl="0">
      <w:start w:val="1"/>
      <w:numFmt w:val="lowerLetter"/>
      <w:pStyle w:val="Bullet"/>
      <w:lvlText w:val="(%1)"/>
      <w:lvlJc w:val="left"/>
      <w:pPr>
        <w:ind w:left="360" w:hanging="360"/>
      </w:pPr>
      <w:rPr>
        <w:rFonts w:ascii="Arial" w:hAnsi="Arial" w:cs="Times New Roman" w:hint="default"/>
        <w:b w:val="0"/>
        <w:bCs w:val="0"/>
        <w:i w:val="0"/>
        <w:iCs w:val="0"/>
        <w:caps w:val="0"/>
        <w:color w:val="auto"/>
        <w:sz w:val="22"/>
        <w:szCs w:val="22"/>
      </w:rPr>
    </w:lvl>
  </w:abstractNum>
  <w:abstractNum w:abstractNumId="5">
    <w:nsid w:val="66BA42AC"/>
    <w:multiLevelType w:val="hybridMultilevel"/>
    <w:tmpl w:val="1CA2FA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0"/>
  </w:num>
  <w:num w:numId="6">
    <w:abstractNumId w:val="0"/>
  </w:num>
  <w:num w:numId="7">
    <w:abstractNumId w:val="0"/>
  </w:num>
  <w:num w:numId="8">
    <w:abstractNumId w:val="2"/>
  </w:num>
  <w:num w:numId="9">
    <w:abstractNumId w:val="4"/>
  </w:num>
  <w:num w:numId="10">
    <w:abstractNumId w:val="4"/>
    <w:lvlOverride w:ilvl="0">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1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rsids>
    <w:rsidRoot w:val="008302F9"/>
    <w:rsid w:val="00040D92"/>
    <w:rsid w:val="000B138A"/>
    <w:rsid w:val="000B4244"/>
    <w:rsid w:val="000B58FA"/>
    <w:rsid w:val="00101FB7"/>
    <w:rsid w:val="001033E9"/>
    <w:rsid w:val="00107A58"/>
    <w:rsid w:val="00117010"/>
    <w:rsid w:val="00133269"/>
    <w:rsid w:val="001A520F"/>
    <w:rsid w:val="001C0381"/>
    <w:rsid w:val="001E72EC"/>
    <w:rsid w:val="00236C54"/>
    <w:rsid w:val="002704FA"/>
    <w:rsid w:val="002D59D8"/>
    <w:rsid w:val="0031747E"/>
    <w:rsid w:val="00345A9B"/>
    <w:rsid w:val="003515BD"/>
    <w:rsid w:val="004301E9"/>
    <w:rsid w:val="0043295A"/>
    <w:rsid w:val="00456169"/>
    <w:rsid w:val="00471A2D"/>
    <w:rsid w:val="004E6F64"/>
    <w:rsid w:val="005651C2"/>
    <w:rsid w:val="00576487"/>
    <w:rsid w:val="005A6C50"/>
    <w:rsid w:val="005C7C62"/>
    <w:rsid w:val="005F21E9"/>
    <w:rsid w:val="005F5121"/>
    <w:rsid w:val="00607B08"/>
    <w:rsid w:val="00646AFE"/>
    <w:rsid w:val="00684CD0"/>
    <w:rsid w:val="00687041"/>
    <w:rsid w:val="006912C4"/>
    <w:rsid w:val="006C3835"/>
    <w:rsid w:val="0072547A"/>
    <w:rsid w:val="00735986"/>
    <w:rsid w:val="00753265"/>
    <w:rsid w:val="007A4771"/>
    <w:rsid w:val="007F6A44"/>
    <w:rsid w:val="008302F9"/>
    <w:rsid w:val="008A5309"/>
    <w:rsid w:val="008B1423"/>
    <w:rsid w:val="008B5975"/>
    <w:rsid w:val="008C205F"/>
    <w:rsid w:val="00966A7E"/>
    <w:rsid w:val="0099656B"/>
    <w:rsid w:val="009A1CA7"/>
    <w:rsid w:val="009B475D"/>
    <w:rsid w:val="00A10E3A"/>
    <w:rsid w:val="00A16908"/>
    <w:rsid w:val="00A723B9"/>
    <w:rsid w:val="00AD158D"/>
    <w:rsid w:val="00AE39B0"/>
    <w:rsid w:val="00B11331"/>
    <w:rsid w:val="00B97B10"/>
    <w:rsid w:val="00BB1A31"/>
    <w:rsid w:val="00BC7D9A"/>
    <w:rsid w:val="00BE2DF3"/>
    <w:rsid w:val="00BE6847"/>
    <w:rsid w:val="00C03949"/>
    <w:rsid w:val="00C4731E"/>
    <w:rsid w:val="00C476FE"/>
    <w:rsid w:val="00C65708"/>
    <w:rsid w:val="00C91B66"/>
    <w:rsid w:val="00CA11D0"/>
    <w:rsid w:val="00CF2732"/>
    <w:rsid w:val="00D44905"/>
    <w:rsid w:val="00D67E25"/>
    <w:rsid w:val="00D948D0"/>
    <w:rsid w:val="00D976E9"/>
    <w:rsid w:val="00DB2CBD"/>
    <w:rsid w:val="00DD5537"/>
    <w:rsid w:val="00E007C3"/>
    <w:rsid w:val="00E20BAB"/>
    <w:rsid w:val="00E22137"/>
    <w:rsid w:val="00E3627B"/>
    <w:rsid w:val="00E874E1"/>
    <w:rsid w:val="00EA4174"/>
    <w:rsid w:val="00EB6A7A"/>
    <w:rsid w:val="00FD18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uto"/>
      <w:jc w:val="both"/>
    </w:pPr>
    <w:rPr>
      <w:rFonts w:ascii="Arial" w:hAnsi="Arial" w:cs="Arial"/>
      <w:lang w:eastAsia="en-US"/>
    </w:rPr>
  </w:style>
  <w:style w:type="paragraph" w:styleId="Heading1">
    <w:name w:val="heading 1"/>
    <w:basedOn w:val="Normal"/>
    <w:next w:val="Normal"/>
    <w:link w:val="Heading1Char"/>
    <w:uiPriority w:val="99"/>
    <w:qFormat/>
    <w:rsid w:val="00B97B10"/>
    <w:pPr>
      <w:keepNext/>
      <w:pageBreakBefore/>
      <w:numPr>
        <w:numId w:val="1"/>
      </w:numPr>
      <w:spacing w:before="240"/>
      <w:ind w:left="431" w:hanging="431"/>
      <w:outlineLvl w:val="0"/>
    </w:pPr>
    <w:rPr>
      <w:b/>
      <w:bCs/>
      <w:caps/>
      <w:kern w:val="28"/>
    </w:rPr>
  </w:style>
  <w:style w:type="paragraph" w:styleId="Heading2">
    <w:name w:val="heading 2"/>
    <w:basedOn w:val="Normal"/>
    <w:next w:val="Normal"/>
    <w:link w:val="Heading2Char"/>
    <w:uiPriority w:val="99"/>
    <w:qFormat/>
    <w:rsid w:val="00D44905"/>
    <w:pPr>
      <w:keepNext/>
      <w:numPr>
        <w:ilvl w:val="1"/>
        <w:numId w:val="1"/>
      </w:numPr>
      <w:spacing w:before="240" w:after="60"/>
      <w:outlineLvl w:val="1"/>
    </w:pPr>
    <w:rPr>
      <w:rFonts w:ascii="Arial Bold" w:hAnsi="Arial Bold"/>
      <w:b/>
      <w:bCs/>
    </w:rPr>
  </w:style>
  <w:style w:type="paragraph" w:styleId="Heading3">
    <w:name w:val="heading 3"/>
    <w:basedOn w:val="Normal"/>
    <w:next w:val="Normal"/>
    <w:link w:val="Heading3Char"/>
    <w:uiPriority w:val="99"/>
    <w:qFormat/>
    <w:pPr>
      <w:keepNext/>
      <w:numPr>
        <w:ilvl w:val="2"/>
        <w:numId w:val="1"/>
      </w:numPr>
      <w:outlineLvl w:val="2"/>
    </w:pPr>
    <w:rPr>
      <w:rFonts w:ascii="Arial Bold" w:hAnsi="Arial Bold" w:cs="Arial Bold"/>
      <w:b/>
      <w:bCs/>
    </w:rPr>
  </w:style>
  <w:style w:type="paragraph" w:styleId="Heading4">
    <w:name w:val="heading 4"/>
    <w:basedOn w:val="Normal"/>
    <w:next w:val="Normal"/>
    <w:link w:val="Heading4Char"/>
    <w:uiPriority w:val="99"/>
    <w:qFormat/>
    <w:pPr>
      <w:keepNext/>
      <w:numPr>
        <w:ilvl w:val="3"/>
        <w:numId w:val="1"/>
      </w:numPr>
      <w:outlineLvl w:val="3"/>
    </w:pPr>
    <w:rPr>
      <w:b/>
      <w:bCs/>
    </w:rPr>
  </w:style>
  <w:style w:type="paragraph" w:styleId="Heading5">
    <w:name w:val="heading 5"/>
    <w:basedOn w:val="Normal"/>
    <w:next w:val="Normal"/>
    <w:link w:val="Heading5Char"/>
    <w:uiPriority w:val="99"/>
    <w:qFormat/>
    <w:pPr>
      <w:numPr>
        <w:ilvl w:val="4"/>
        <w:numId w:val="1"/>
      </w:numPr>
      <w:spacing w:before="240" w:after="60"/>
      <w:outlineLvl w:val="4"/>
    </w:pPr>
  </w:style>
  <w:style w:type="paragraph" w:styleId="Heading6">
    <w:name w:val="heading 6"/>
    <w:basedOn w:val="Normal"/>
    <w:next w:val="Normal"/>
    <w:link w:val="Heading6Char"/>
    <w:uiPriority w:val="99"/>
    <w:qFormat/>
    <w:pPr>
      <w:numPr>
        <w:ilvl w:val="5"/>
        <w:numId w:val="1"/>
      </w:numPr>
      <w:spacing w:before="240" w:after="60"/>
      <w:outlineLvl w:val="5"/>
    </w:pPr>
    <w:rPr>
      <w:i/>
      <w:iCs/>
    </w:rPr>
  </w:style>
  <w:style w:type="paragraph" w:styleId="Heading7">
    <w:name w:val="heading 7"/>
    <w:basedOn w:val="Normal"/>
    <w:next w:val="Normal"/>
    <w:link w:val="Heading7Char"/>
    <w:uiPriority w:val="99"/>
    <w:qFormat/>
    <w:pPr>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b/>
      <w:bCs/>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7B10"/>
    <w:rPr>
      <w:rFonts w:ascii="Arial" w:hAnsi="Arial" w:cs="Arial"/>
      <w:b/>
      <w:bCs/>
      <w:caps/>
      <w:kern w:val="28"/>
      <w:lang w:eastAsia="en-US"/>
    </w:rPr>
  </w:style>
  <w:style w:type="character" w:customStyle="1" w:styleId="Heading2Char">
    <w:name w:val="Heading 2 Char"/>
    <w:basedOn w:val="DefaultParagraphFont"/>
    <w:link w:val="Heading2"/>
    <w:uiPriority w:val="99"/>
    <w:locked/>
    <w:rsid w:val="00D44905"/>
    <w:rPr>
      <w:rFonts w:ascii="Arial Bold" w:hAnsi="Arial Bold" w:cs="Arial"/>
      <w:b/>
      <w:bCs/>
      <w:lang w:eastAsia="en-US"/>
    </w:rPr>
  </w:style>
  <w:style w:type="character" w:customStyle="1" w:styleId="Heading3Char">
    <w:name w:val="Heading 3 Char"/>
    <w:basedOn w:val="DefaultParagraphFont"/>
    <w:link w:val="Heading3"/>
    <w:uiPriority w:val="99"/>
    <w:locked/>
    <w:rPr>
      <w:rFonts w:ascii="Arial Bold" w:hAnsi="Arial Bold" w:cs="Arial Bold"/>
      <w:b/>
      <w:bCs/>
      <w:lang w:eastAsia="en-US"/>
    </w:rPr>
  </w:style>
  <w:style w:type="character" w:customStyle="1" w:styleId="Heading4Char">
    <w:name w:val="Heading 4 Char"/>
    <w:basedOn w:val="DefaultParagraphFont"/>
    <w:link w:val="Heading4"/>
    <w:uiPriority w:val="99"/>
    <w:locked/>
    <w:rPr>
      <w:rFonts w:ascii="Arial" w:hAnsi="Arial" w:cs="Arial"/>
      <w:b/>
      <w:bCs/>
      <w:lang w:eastAsia="en-US"/>
    </w:rPr>
  </w:style>
  <w:style w:type="character" w:customStyle="1" w:styleId="Heading5Char">
    <w:name w:val="Heading 5 Char"/>
    <w:basedOn w:val="DefaultParagraphFont"/>
    <w:link w:val="Heading5"/>
    <w:uiPriority w:val="99"/>
    <w:locked/>
    <w:rPr>
      <w:rFonts w:ascii="Arial" w:hAnsi="Arial" w:cs="Arial"/>
      <w:lang w:eastAsia="en-US"/>
    </w:rPr>
  </w:style>
  <w:style w:type="character" w:customStyle="1" w:styleId="Heading6Char">
    <w:name w:val="Heading 6 Char"/>
    <w:basedOn w:val="DefaultParagraphFont"/>
    <w:link w:val="Heading6"/>
    <w:uiPriority w:val="99"/>
    <w:locked/>
    <w:rPr>
      <w:rFonts w:ascii="Arial" w:hAnsi="Arial" w:cs="Arial"/>
      <w:i/>
      <w:iCs/>
      <w:lang w:eastAsia="en-US"/>
    </w:rPr>
  </w:style>
  <w:style w:type="character" w:customStyle="1" w:styleId="Heading7Char">
    <w:name w:val="Heading 7 Char"/>
    <w:basedOn w:val="DefaultParagraphFont"/>
    <w:link w:val="Heading7"/>
    <w:uiPriority w:val="99"/>
    <w:locked/>
    <w:rPr>
      <w:rFonts w:ascii="Arial" w:hAnsi="Arial" w:cs="Arial"/>
      <w:sz w:val="20"/>
      <w:szCs w:val="20"/>
      <w:lang w:eastAsia="en-US"/>
    </w:rPr>
  </w:style>
  <w:style w:type="character" w:customStyle="1" w:styleId="Heading8Char">
    <w:name w:val="Heading 8 Char"/>
    <w:basedOn w:val="DefaultParagraphFont"/>
    <w:link w:val="Heading8"/>
    <w:uiPriority w:val="99"/>
    <w:locked/>
    <w:rPr>
      <w:rFonts w:ascii="Arial" w:hAnsi="Arial" w:cs="Arial"/>
      <w:i/>
      <w:iCs/>
      <w:sz w:val="20"/>
      <w:szCs w:val="20"/>
      <w:lang w:eastAsia="en-US"/>
    </w:rPr>
  </w:style>
  <w:style w:type="character" w:customStyle="1" w:styleId="Heading9Char">
    <w:name w:val="Heading 9 Char"/>
    <w:basedOn w:val="DefaultParagraphFont"/>
    <w:link w:val="Heading9"/>
    <w:uiPriority w:val="99"/>
    <w:locked/>
    <w:rPr>
      <w:rFonts w:ascii="Arial" w:hAnsi="Arial" w:cs="Arial"/>
      <w:b/>
      <w:bCs/>
      <w:i/>
      <w:iCs/>
      <w:sz w:val="18"/>
      <w:szCs w:val="1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Arial"/>
      <w:lang w:eastAsia="en-US"/>
    </w:rPr>
  </w:style>
  <w:style w:type="paragraph" w:styleId="BodyText2">
    <w:name w:val="Body Text 2"/>
    <w:basedOn w:val="Normal"/>
    <w:link w:val="BodyText2Char"/>
    <w:uiPriority w:val="99"/>
    <w:rPr>
      <w:vanish/>
      <w:color w:val="FF0000"/>
    </w:rPr>
  </w:style>
  <w:style w:type="character" w:customStyle="1" w:styleId="BodyText2Char">
    <w:name w:val="Body Text 2 Char"/>
    <w:basedOn w:val="DefaultParagraphFont"/>
    <w:link w:val="BodyText2"/>
    <w:uiPriority w:val="99"/>
    <w:semiHidden/>
    <w:locked/>
    <w:rPr>
      <w:rFonts w:ascii="Arial" w:hAnsi="Arial" w:cs="Arial"/>
      <w:lang w:eastAsia="en-US"/>
    </w:rPr>
  </w:style>
  <w:style w:type="paragraph" w:styleId="BodyTextIndent3">
    <w:name w:val="Body Text Indent 3"/>
    <w:basedOn w:val="Normal"/>
    <w:link w:val="BodyTextIndent3Char"/>
    <w:uiPriority w:val="99"/>
    <w:pPr>
      <w:tabs>
        <w:tab w:val="left" w:pos="2268"/>
      </w:tabs>
      <w:ind w:left="284"/>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eastAsia="en-US"/>
    </w:rPr>
  </w:style>
  <w:style w:type="character" w:styleId="Hyperlink">
    <w:name w:val="Hyperlink"/>
    <w:basedOn w:val="DefaultParagraphFont"/>
    <w:uiPriority w:val="99"/>
    <w:rsid w:val="001033E9"/>
    <w:rPr>
      <w:rFonts w:cs="Times New Roman"/>
      <w:color w:val="C00000"/>
      <w:u w:val="singl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lang w:eastAsia="en-US"/>
    </w:rPr>
  </w:style>
  <w:style w:type="paragraph" w:customStyle="1" w:styleId="Bullet">
    <w:name w:val="Bullet"/>
    <w:basedOn w:val="Normal"/>
    <w:uiPriority w:val="99"/>
    <w:rsid w:val="006912C4"/>
    <w:pPr>
      <w:numPr>
        <w:numId w:val="3"/>
      </w:numPr>
    </w:p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Arial" w:hAnsi="Arial" w:cs="Arial"/>
      <w:lang w:eastAsia="en-US"/>
    </w:rPr>
  </w:style>
  <w:style w:type="paragraph" w:styleId="BodyText3">
    <w:name w:val="Body Text 3"/>
    <w:basedOn w:val="Normal"/>
    <w:link w:val="BodyText3Char"/>
    <w:uiPriority w:val="99"/>
    <w:pPr>
      <w:keepNext/>
      <w:tabs>
        <w:tab w:val="left" w:pos="6237"/>
      </w:tabs>
      <w:ind w:right="5101"/>
    </w:pPr>
  </w:style>
  <w:style w:type="character" w:customStyle="1" w:styleId="BodyText3Char">
    <w:name w:val="Body Text 3 Char"/>
    <w:basedOn w:val="DefaultParagraphFont"/>
    <w:link w:val="BodyText3"/>
    <w:uiPriority w:val="99"/>
    <w:semiHidden/>
    <w:locked/>
    <w:rPr>
      <w:rFonts w:ascii="Arial" w:hAnsi="Arial" w:cs="Arial"/>
      <w:sz w:val="16"/>
      <w:szCs w:val="16"/>
      <w:lang w:eastAsia="en-US"/>
    </w:rPr>
  </w:style>
  <w:style w:type="paragraph" w:styleId="BlockText">
    <w:name w:val="Block Text"/>
    <w:basedOn w:val="Normal"/>
    <w:uiPriority w:val="99"/>
    <w:pPr>
      <w:tabs>
        <w:tab w:val="right" w:pos="3402"/>
      </w:tabs>
      <w:ind w:left="567" w:right="28"/>
    </w:pPr>
  </w:style>
  <w:style w:type="paragraph" w:styleId="BodyTextIndent2">
    <w:name w:val="Body Text Indent 2"/>
    <w:basedOn w:val="Normal"/>
    <w:link w:val="BodyTextIndent2Char"/>
    <w:uiPriority w:val="99"/>
    <w:pPr>
      <w:keepNext/>
      <w:widowControl w:val="0"/>
      <w:ind w:left="709"/>
    </w:pPr>
  </w:style>
  <w:style w:type="character" w:customStyle="1" w:styleId="BodyTextIndent2Char">
    <w:name w:val="Body Text Indent 2 Char"/>
    <w:basedOn w:val="DefaultParagraphFont"/>
    <w:link w:val="BodyTextIndent2"/>
    <w:uiPriority w:val="99"/>
    <w:semiHidden/>
    <w:locked/>
    <w:rPr>
      <w:rFonts w:ascii="Arial" w:hAnsi="Arial" w:cs="Arial"/>
      <w:lang w:eastAsia="en-US"/>
    </w:rPr>
  </w:style>
  <w:style w:type="paragraph" w:styleId="TOC1">
    <w:name w:val="toc 1"/>
    <w:basedOn w:val="Normal"/>
    <w:next w:val="Normal"/>
    <w:uiPriority w:val="39"/>
    <w:rsid w:val="00DD5537"/>
    <w:pPr>
      <w:tabs>
        <w:tab w:val="left" w:pos="567"/>
        <w:tab w:val="right" w:pos="8789"/>
      </w:tabs>
      <w:spacing w:before="240"/>
      <w:jc w:val="left"/>
    </w:pPr>
    <w:rPr>
      <w:b/>
    </w:rPr>
  </w:style>
  <w:style w:type="paragraph" w:styleId="TOC2">
    <w:name w:val="toc 2"/>
    <w:basedOn w:val="Normal"/>
    <w:next w:val="Normal"/>
    <w:autoRedefine/>
    <w:uiPriority w:val="39"/>
    <w:rsid w:val="00DD5537"/>
    <w:pPr>
      <w:tabs>
        <w:tab w:val="left" w:pos="1134"/>
        <w:tab w:val="right" w:pos="8789"/>
      </w:tabs>
      <w:spacing w:after="60"/>
      <w:ind w:left="1134" w:right="1134" w:hanging="567"/>
      <w:jc w:val="left"/>
    </w:pPr>
    <w:rPr>
      <w:noProof/>
    </w:rPr>
  </w:style>
  <w:style w:type="paragraph" w:styleId="TOCHeading">
    <w:name w:val="TOC Heading"/>
    <w:basedOn w:val="Heading1"/>
    <w:next w:val="Normal"/>
    <w:uiPriority w:val="39"/>
    <w:semiHidden/>
    <w:unhideWhenUsed/>
    <w:qFormat/>
    <w:rsid w:val="00DD5537"/>
    <w:pPr>
      <w:keepLines/>
      <w:numPr>
        <w:numId w:val="0"/>
      </w:numPr>
      <w:spacing w:before="480" w:after="0" w:line="276" w:lineRule="auto"/>
      <w:jc w:val="left"/>
      <w:outlineLvl w:val="9"/>
    </w:pPr>
    <w:rPr>
      <w:rFonts w:ascii="Cambria" w:hAnsi="Cambria" w:cs="Times New Roman"/>
      <w:caps w:val="0"/>
      <w:color w:val="365F91"/>
      <w:kern w:val="0"/>
      <w:sz w:val="28"/>
      <w:szCs w:val="28"/>
      <w:lang w:val="en-US"/>
    </w:rPr>
  </w:style>
  <w:style w:type="paragraph" w:customStyle="1" w:styleId="DocumentContent">
    <w:name w:val="Document Content"/>
    <w:basedOn w:val="Normal"/>
    <w:uiPriority w:val="99"/>
    <w:rsid w:val="00735986"/>
    <w:pPr>
      <w:jc w:val="left"/>
    </w:pPr>
    <w:rPr>
      <w:noProof/>
      <w:sz w:val="20"/>
      <w:szCs w:val="20"/>
    </w:rPr>
  </w:style>
  <w:style w:type="paragraph" w:styleId="BalloonText">
    <w:name w:val="Balloon Text"/>
    <w:basedOn w:val="Normal"/>
    <w:link w:val="BalloonTextChar"/>
    <w:uiPriority w:val="99"/>
    <w:semiHidden/>
    <w:unhideWhenUsed/>
    <w:rsid w:val="005F51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121"/>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ims.sa.gov.au/bpims/library/library_frameset_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8C09-489E-4348-954F-C0171C8A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9282</Characters>
  <Application>Microsoft Office Word</Application>
  <DocSecurity>0</DocSecurity>
  <Lines>77</Lines>
  <Paragraphs>21</Paragraphs>
  <ScaleCrop>false</ScaleCrop>
  <Company>DAIS</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DPTI</cp:lastModifiedBy>
  <cp:revision>2</cp:revision>
  <cp:lastPrinted>2013-10-28T05:26:00Z</cp:lastPrinted>
  <dcterms:created xsi:type="dcterms:W3CDTF">2015-09-02T03:33:00Z</dcterms:created>
  <dcterms:modified xsi:type="dcterms:W3CDTF">2015-09-02T03:33:00Z</dcterms:modified>
</cp:coreProperties>
</file>