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D" w:rsidRPr="00F43FD1" w:rsidRDefault="005E4C5D" w:rsidP="005E4C5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43FD1">
        <w:rPr>
          <w:rFonts w:ascii="Arial" w:hAnsi="Arial" w:cs="Arial"/>
          <w:b/>
          <w:sz w:val="18"/>
          <w:szCs w:val="18"/>
          <w:u w:val="single"/>
        </w:rPr>
        <w:t xml:space="preserve">SCOPE OF </w:t>
      </w:r>
      <w:r w:rsidR="00FA22F0" w:rsidRPr="00F43FD1">
        <w:rPr>
          <w:rFonts w:ascii="Arial" w:hAnsi="Arial" w:cs="Arial"/>
          <w:b/>
          <w:sz w:val="18"/>
          <w:szCs w:val="18"/>
          <w:u w:val="single"/>
        </w:rPr>
        <w:t>CONTRACT</w:t>
      </w:r>
    </w:p>
    <w:p w:rsidR="005E4C5D" w:rsidRPr="00F43FD1" w:rsidRDefault="005E4C5D" w:rsidP="005E4C5D">
      <w:pPr>
        <w:pStyle w:val="TenderText"/>
        <w:rPr>
          <w:rFonts w:ascii="Arial" w:hAnsi="Arial" w:cs="Arial"/>
          <w:sz w:val="18"/>
          <w:szCs w:val="18"/>
        </w:rPr>
      </w:pPr>
    </w:p>
    <w:p w:rsidR="005E4C5D" w:rsidRPr="00F43FD1" w:rsidRDefault="005E4C5D" w:rsidP="005E4C5D">
      <w:pPr>
        <w:pStyle w:val="TenderText"/>
        <w:rPr>
          <w:rFonts w:ascii="Arial" w:hAnsi="Arial" w:cs="Arial"/>
          <w:sz w:val="18"/>
          <w:szCs w:val="18"/>
        </w:rPr>
      </w:pP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b/>
          <w:sz w:val="18"/>
          <w:szCs w:val="18"/>
        </w:rPr>
        <w:t>1.</w:t>
      </w:r>
      <w:r w:rsidRPr="00F43FD1">
        <w:rPr>
          <w:rFonts w:ascii="Arial" w:hAnsi="Arial" w:cs="Arial"/>
          <w:b/>
          <w:sz w:val="18"/>
          <w:szCs w:val="18"/>
        </w:rPr>
        <w:tab/>
      </w:r>
      <w:r w:rsidRPr="00F43FD1">
        <w:rPr>
          <w:rFonts w:ascii="Arial" w:hAnsi="Arial" w:cs="Arial"/>
          <w:b/>
          <w:sz w:val="18"/>
          <w:szCs w:val="18"/>
          <w:u w:val="single"/>
        </w:rPr>
        <w:t>DESCRIPTION OF WORK</w:t>
      </w:r>
      <w:r w:rsidRPr="00F43FD1">
        <w:rPr>
          <w:rFonts w:ascii="Arial" w:hAnsi="Arial" w:cs="Arial"/>
          <w:sz w:val="18"/>
          <w:szCs w:val="18"/>
        </w:rPr>
        <w:tab/>
      </w:r>
      <w:proofErr w:type="spellStart"/>
      <w:r w:rsidRPr="00F43FD1">
        <w:rPr>
          <w:rFonts w:ascii="Arial" w:hAnsi="Arial" w:cs="Arial"/>
          <w:i/>
          <w:sz w:val="18"/>
          <w:szCs w:val="18"/>
        </w:rPr>
        <w:t>Specifier</w:t>
      </w:r>
      <w:proofErr w:type="spellEnd"/>
      <w:r w:rsidRPr="00F43FD1">
        <w:rPr>
          <w:rFonts w:ascii="Arial" w:hAnsi="Arial" w:cs="Arial"/>
          <w:i/>
          <w:sz w:val="18"/>
          <w:szCs w:val="18"/>
        </w:rPr>
        <w:t xml:space="preserve"> to supply</w:t>
      </w:r>
      <w:r w:rsidR="004F3F5D" w:rsidRPr="00F43FD1">
        <w:rPr>
          <w:rFonts w:ascii="Arial" w:hAnsi="Arial" w:cs="Arial"/>
          <w:i/>
          <w:sz w:val="18"/>
          <w:szCs w:val="18"/>
        </w:rPr>
        <w:t xml:space="preserve"> – example below:</w:t>
      </w:r>
    </w:p>
    <w:p w:rsidR="005E4C5D" w:rsidRPr="00F43FD1" w:rsidRDefault="005E4C5D" w:rsidP="003A4A84">
      <w:pPr>
        <w:jc w:val="left"/>
        <w:rPr>
          <w:rFonts w:ascii="Arial" w:hAnsi="Arial" w:cs="Arial"/>
          <w:sz w:val="18"/>
          <w:szCs w:val="18"/>
        </w:rPr>
      </w:pPr>
      <w:bookmarkStart w:id="0" w:name="start"/>
      <w:bookmarkEnd w:id="0"/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 xml:space="preserve">The existing Beachport Seawall is located along the foreshore at Beachport and straddles the Beachport Jetty.  Beachport is located in the State’s </w:t>
      </w:r>
      <w:proofErr w:type="gramStart"/>
      <w:r w:rsidRPr="00F43FD1">
        <w:rPr>
          <w:rFonts w:ascii="Arial" w:hAnsi="Arial" w:cs="Arial"/>
          <w:i/>
          <w:sz w:val="18"/>
          <w:szCs w:val="18"/>
        </w:rPr>
        <w:t>south-east</w:t>
      </w:r>
      <w:proofErr w:type="gramEnd"/>
      <w:r w:rsidRPr="00F43FD1">
        <w:rPr>
          <w:rFonts w:ascii="Arial" w:hAnsi="Arial" w:cs="Arial"/>
          <w:i/>
          <w:sz w:val="18"/>
          <w:szCs w:val="18"/>
        </w:rPr>
        <w:t xml:space="preserve"> region and lies within the District Council of Wattle Range.</w:t>
      </w: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 xml:space="preserve">The Department for </w:t>
      </w:r>
      <w:r w:rsidR="003A4A84" w:rsidRPr="00F43FD1">
        <w:rPr>
          <w:rFonts w:ascii="Arial" w:hAnsi="Arial" w:cs="Arial"/>
          <w:i/>
          <w:sz w:val="18"/>
          <w:szCs w:val="18"/>
        </w:rPr>
        <w:t xml:space="preserve">Planning, </w:t>
      </w:r>
      <w:r w:rsidRPr="00F43FD1">
        <w:rPr>
          <w:rFonts w:ascii="Arial" w:hAnsi="Arial" w:cs="Arial"/>
          <w:i/>
          <w:sz w:val="18"/>
          <w:szCs w:val="18"/>
        </w:rPr>
        <w:t>Transport and Infrastructure proposes to construct a new seawall directly in front of the existing seawall to protect the foreshore from wave action.</w:t>
      </w: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 xml:space="preserve">The seawall </w:t>
      </w:r>
      <w:r w:rsidR="004F3F5D" w:rsidRPr="00F43FD1">
        <w:rPr>
          <w:rFonts w:ascii="Arial" w:hAnsi="Arial" w:cs="Arial"/>
          <w:i/>
          <w:sz w:val="18"/>
          <w:szCs w:val="18"/>
        </w:rPr>
        <w:t>must</w:t>
      </w:r>
      <w:r w:rsidRPr="00F43FD1">
        <w:rPr>
          <w:rFonts w:ascii="Arial" w:hAnsi="Arial" w:cs="Arial"/>
          <w:i/>
          <w:sz w:val="18"/>
          <w:szCs w:val="18"/>
        </w:rPr>
        <w:t xml:space="preserve"> be constructed with steel support piles and timber planking, with a total length of approximately 90</w:t>
      </w:r>
      <w:r w:rsidR="00CC1E0C" w:rsidRPr="00F43FD1">
        <w:rPr>
          <w:rFonts w:ascii="Arial" w:hAnsi="Arial" w:cs="Arial"/>
          <w:i/>
          <w:sz w:val="18"/>
          <w:szCs w:val="18"/>
        </w:rPr>
        <w:t> </w:t>
      </w:r>
      <w:r w:rsidRPr="00F43FD1">
        <w:rPr>
          <w:rFonts w:ascii="Arial" w:hAnsi="Arial" w:cs="Arial"/>
          <w:i/>
          <w:sz w:val="18"/>
          <w:szCs w:val="18"/>
        </w:rPr>
        <w:t>m.  The seawall will extend approximately 35</w:t>
      </w:r>
      <w:r w:rsidR="00CC1E0C" w:rsidRPr="00F43FD1">
        <w:rPr>
          <w:rFonts w:ascii="Arial" w:hAnsi="Arial" w:cs="Arial"/>
          <w:i/>
          <w:sz w:val="18"/>
          <w:szCs w:val="18"/>
        </w:rPr>
        <w:t> </w:t>
      </w:r>
      <w:r w:rsidRPr="00F43FD1">
        <w:rPr>
          <w:rFonts w:ascii="Arial" w:hAnsi="Arial" w:cs="Arial"/>
          <w:i/>
          <w:sz w:val="18"/>
          <w:szCs w:val="18"/>
        </w:rPr>
        <w:t>m north of the jetty, to the existing groyne, and approximately 55</w:t>
      </w:r>
      <w:r w:rsidR="00CC1E0C" w:rsidRPr="00F43FD1">
        <w:rPr>
          <w:rFonts w:ascii="Arial" w:hAnsi="Arial" w:cs="Arial"/>
          <w:i/>
          <w:sz w:val="18"/>
          <w:szCs w:val="18"/>
        </w:rPr>
        <w:t> </w:t>
      </w:r>
      <w:r w:rsidRPr="00F43FD1">
        <w:rPr>
          <w:rFonts w:ascii="Arial" w:hAnsi="Arial" w:cs="Arial"/>
          <w:i/>
          <w:sz w:val="18"/>
          <w:szCs w:val="18"/>
        </w:rPr>
        <w:t xml:space="preserve">m south of the jetty.  The top of the wall </w:t>
      </w:r>
      <w:r w:rsidR="004F3F5D" w:rsidRPr="00F43FD1">
        <w:rPr>
          <w:rFonts w:ascii="Arial" w:hAnsi="Arial" w:cs="Arial"/>
          <w:i/>
          <w:sz w:val="18"/>
          <w:szCs w:val="18"/>
        </w:rPr>
        <w:t>must</w:t>
      </w:r>
      <w:r w:rsidRPr="00F43FD1">
        <w:rPr>
          <w:rFonts w:ascii="Arial" w:hAnsi="Arial" w:cs="Arial"/>
          <w:i/>
          <w:sz w:val="18"/>
          <w:szCs w:val="18"/>
        </w:rPr>
        <w:t xml:space="preserve"> match the deck level of the Beachport Jetty.  Below the jetty, a new concrete abutment </w:t>
      </w:r>
      <w:r w:rsidR="004F3F5D" w:rsidRPr="00F43FD1">
        <w:rPr>
          <w:rFonts w:ascii="Arial" w:hAnsi="Arial" w:cs="Arial"/>
          <w:i/>
          <w:sz w:val="18"/>
          <w:szCs w:val="18"/>
        </w:rPr>
        <w:t>must</w:t>
      </w:r>
      <w:r w:rsidRPr="00F43FD1">
        <w:rPr>
          <w:rFonts w:ascii="Arial" w:hAnsi="Arial" w:cs="Arial"/>
          <w:i/>
          <w:sz w:val="18"/>
          <w:szCs w:val="18"/>
        </w:rPr>
        <w:t xml:space="preserve"> be constructed with block-outs for services running below the jetty.  Steel piles and timber elements will be supplied by the Principal.</w:t>
      </w: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 xml:space="preserve">The first span of the jetty will have to be removed to facilitate construction of the seawall.  The jetty will be reinstated with new piles at the first bent and a new timber super-structure from the abutment to the first bent.  The jetty </w:t>
      </w:r>
      <w:r w:rsidR="004F3F5D" w:rsidRPr="00F43FD1">
        <w:rPr>
          <w:rFonts w:ascii="Arial" w:hAnsi="Arial" w:cs="Arial"/>
          <w:i/>
          <w:sz w:val="18"/>
          <w:szCs w:val="18"/>
        </w:rPr>
        <w:t>must</w:t>
      </w:r>
      <w:r w:rsidRPr="00F43FD1">
        <w:rPr>
          <w:rFonts w:ascii="Arial" w:hAnsi="Arial" w:cs="Arial"/>
          <w:i/>
          <w:sz w:val="18"/>
          <w:szCs w:val="18"/>
        </w:rPr>
        <w:t xml:space="preserve"> be made accessible as soon as that portion of the seawall below the jetty is constructed, to minimize public inconvenience.</w:t>
      </w: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 xml:space="preserve">Construction of the seawall will generally consist </w:t>
      </w:r>
      <w:r w:rsidR="004F3F5D" w:rsidRPr="00F43FD1">
        <w:rPr>
          <w:rFonts w:ascii="Arial" w:hAnsi="Arial" w:cs="Arial"/>
          <w:i/>
          <w:sz w:val="18"/>
          <w:szCs w:val="18"/>
        </w:rPr>
        <w:t>of:</w:t>
      </w:r>
    </w:p>
    <w:p w:rsidR="005E4C5D" w:rsidRPr="00F43FD1" w:rsidRDefault="005E4C5D" w:rsidP="003A4A84">
      <w:pPr>
        <w:numPr>
          <w:ilvl w:val="0"/>
          <w:numId w:val="3"/>
        </w:numPr>
        <w:spacing w:before="120"/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>Driving of 200</w:t>
      </w:r>
      <w:r w:rsidR="00CC1E0C" w:rsidRPr="00F43FD1">
        <w:rPr>
          <w:rFonts w:ascii="Arial" w:hAnsi="Arial" w:cs="Arial"/>
          <w:i/>
          <w:sz w:val="18"/>
          <w:szCs w:val="18"/>
        </w:rPr>
        <w:t> </w:t>
      </w:r>
      <w:r w:rsidRPr="00F43FD1">
        <w:rPr>
          <w:rFonts w:ascii="Arial" w:hAnsi="Arial" w:cs="Arial"/>
          <w:i/>
          <w:sz w:val="18"/>
          <w:szCs w:val="18"/>
        </w:rPr>
        <w:t xml:space="preserve">mm square steel piles to an embedment length as indicated </w:t>
      </w:r>
      <w:r w:rsidR="00CC1E0C" w:rsidRPr="00F43FD1">
        <w:rPr>
          <w:rFonts w:ascii="Arial" w:hAnsi="Arial" w:cs="Arial"/>
          <w:i/>
          <w:sz w:val="18"/>
          <w:szCs w:val="18"/>
        </w:rPr>
        <w:t>o</w:t>
      </w:r>
      <w:r w:rsidRPr="00F43FD1">
        <w:rPr>
          <w:rFonts w:ascii="Arial" w:hAnsi="Arial" w:cs="Arial"/>
          <w:i/>
          <w:sz w:val="18"/>
          <w:szCs w:val="18"/>
        </w:rPr>
        <w:t xml:space="preserve">n the </w:t>
      </w:r>
      <w:r w:rsidR="00CC1E0C" w:rsidRPr="00F43FD1">
        <w:rPr>
          <w:rFonts w:ascii="Arial" w:hAnsi="Arial" w:cs="Arial"/>
          <w:i/>
          <w:sz w:val="18"/>
          <w:szCs w:val="18"/>
        </w:rPr>
        <w:t>D</w:t>
      </w:r>
      <w:r w:rsidRPr="00F43FD1">
        <w:rPr>
          <w:rFonts w:ascii="Arial" w:hAnsi="Arial" w:cs="Arial"/>
          <w:i/>
          <w:sz w:val="18"/>
          <w:szCs w:val="18"/>
        </w:rPr>
        <w:t>rawings;</w:t>
      </w:r>
    </w:p>
    <w:p w:rsidR="005E4C5D" w:rsidRPr="00F43FD1" w:rsidRDefault="005E4C5D" w:rsidP="003A4A84">
      <w:pPr>
        <w:numPr>
          <w:ilvl w:val="0"/>
          <w:numId w:val="3"/>
        </w:numPr>
        <w:spacing w:before="120"/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 xml:space="preserve">Installation of timber waling and planks as detailed </w:t>
      </w:r>
      <w:r w:rsidR="00CC1E0C" w:rsidRPr="00F43FD1">
        <w:rPr>
          <w:rFonts w:ascii="Arial" w:hAnsi="Arial" w:cs="Arial"/>
          <w:i/>
          <w:sz w:val="18"/>
          <w:szCs w:val="18"/>
        </w:rPr>
        <w:t>o</w:t>
      </w:r>
      <w:r w:rsidRPr="00F43FD1">
        <w:rPr>
          <w:rFonts w:ascii="Arial" w:hAnsi="Arial" w:cs="Arial"/>
          <w:i/>
          <w:sz w:val="18"/>
          <w:szCs w:val="18"/>
        </w:rPr>
        <w:t xml:space="preserve">n </w:t>
      </w:r>
      <w:r w:rsidR="00466AE6" w:rsidRPr="00F43FD1">
        <w:rPr>
          <w:rFonts w:ascii="Arial" w:hAnsi="Arial" w:cs="Arial"/>
          <w:i/>
          <w:sz w:val="18"/>
          <w:szCs w:val="18"/>
        </w:rPr>
        <w:t>the drawings</w:t>
      </w:r>
      <w:r w:rsidRPr="00F43FD1">
        <w:rPr>
          <w:rFonts w:ascii="Arial" w:hAnsi="Arial" w:cs="Arial"/>
          <w:i/>
          <w:sz w:val="18"/>
          <w:szCs w:val="18"/>
        </w:rPr>
        <w:t>;</w:t>
      </w:r>
    </w:p>
    <w:p w:rsidR="005E4C5D" w:rsidRPr="00F43FD1" w:rsidRDefault="005E4C5D" w:rsidP="003A4A84">
      <w:pPr>
        <w:numPr>
          <w:ilvl w:val="0"/>
          <w:numId w:val="3"/>
        </w:numPr>
        <w:spacing w:before="120"/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>Backfilling and compaction (inner face of the seawall) and reinstating the grassed foreshore area that will be impacted upon by the works;</w:t>
      </w:r>
    </w:p>
    <w:p w:rsidR="005E4C5D" w:rsidRPr="00F43FD1" w:rsidRDefault="005E4C5D" w:rsidP="003A4A84">
      <w:pPr>
        <w:numPr>
          <w:ilvl w:val="0"/>
          <w:numId w:val="3"/>
        </w:numPr>
        <w:spacing w:before="120"/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>Demolition of the first span of jetty, including removal of the two timber piles of Bent 1 of the jetty;</w:t>
      </w:r>
    </w:p>
    <w:p w:rsidR="005E4C5D" w:rsidRPr="00F43FD1" w:rsidRDefault="005E4C5D" w:rsidP="003A4A84">
      <w:pPr>
        <w:numPr>
          <w:ilvl w:val="0"/>
          <w:numId w:val="3"/>
        </w:numPr>
        <w:spacing w:before="120"/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>Temporary end support for the second span of the jetty once the timber piles of Bent 1 are removed;</w:t>
      </w:r>
    </w:p>
    <w:p w:rsidR="005E4C5D" w:rsidRPr="00F43FD1" w:rsidRDefault="005E4C5D" w:rsidP="003A4A84">
      <w:pPr>
        <w:numPr>
          <w:ilvl w:val="0"/>
          <w:numId w:val="3"/>
        </w:numPr>
        <w:spacing w:before="120"/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>Driving 2 new steel piles for Bent 1 of the jetty, and;</w:t>
      </w:r>
    </w:p>
    <w:p w:rsidR="005E4C5D" w:rsidRPr="00F43FD1" w:rsidRDefault="005E4C5D" w:rsidP="003A4A84">
      <w:pPr>
        <w:numPr>
          <w:ilvl w:val="0"/>
          <w:numId w:val="3"/>
        </w:numPr>
        <w:spacing w:before="120"/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>Reconstruction of first span of jetty and re-installation of any fixtures / fittings on the jetty deck.</w:t>
      </w: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</w:p>
    <w:p w:rsidR="005E4C5D" w:rsidRPr="00F43FD1" w:rsidRDefault="005E4C5D" w:rsidP="003A4A84">
      <w:pPr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>Relocation of service lines below the jetty is not included in this Contract.</w:t>
      </w:r>
    </w:p>
    <w:p w:rsidR="005E4C5D" w:rsidRPr="00F43FD1" w:rsidRDefault="005E4C5D" w:rsidP="003A4A84">
      <w:pPr>
        <w:jc w:val="left"/>
        <w:rPr>
          <w:rFonts w:ascii="Arial" w:hAnsi="Arial" w:cs="Arial"/>
          <w:sz w:val="18"/>
          <w:szCs w:val="18"/>
        </w:rPr>
      </w:pP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b/>
          <w:sz w:val="18"/>
          <w:szCs w:val="18"/>
        </w:rPr>
      </w:pPr>
      <w:r w:rsidRPr="00F43FD1">
        <w:rPr>
          <w:rFonts w:ascii="Arial" w:hAnsi="Arial" w:cs="Arial"/>
          <w:b/>
          <w:sz w:val="18"/>
          <w:szCs w:val="18"/>
        </w:rPr>
        <w:t>2.</w:t>
      </w:r>
      <w:r w:rsidRPr="00F43FD1">
        <w:rPr>
          <w:rFonts w:ascii="Arial" w:hAnsi="Arial" w:cs="Arial"/>
          <w:b/>
          <w:sz w:val="18"/>
          <w:szCs w:val="18"/>
        </w:rPr>
        <w:tab/>
      </w:r>
      <w:r w:rsidRPr="00F43FD1">
        <w:rPr>
          <w:rFonts w:ascii="Arial" w:hAnsi="Arial" w:cs="Arial"/>
          <w:b/>
          <w:sz w:val="18"/>
          <w:szCs w:val="18"/>
          <w:u w:val="single"/>
        </w:rPr>
        <w:t>NATURE OF CONTRACT</w:t>
      </w: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sz w:val="18"/>
          <w:szCs w:val="18"/>
          <w:highlight w:val="yellow"/>
        </w:rPr>
      </w:pP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</w:rPr>
        <w:t>This Contra</w:t>
      </w:r>
      <w:r w:rsidR="004F3F5D" w:rsidRPr="00F43FD1">
        <w:rPr>
          <w:rFonts w:ascii="Arial" w:hAnsi="Arial" w:cs="Arial"/>
          <w:i/>
          <w:sz w:val="18"/>
          <w:szCs w:val="18"/>
        </w:rPr>
        <w:t>ct is a Lump Sum Contract</w:t>
      </w:r>
      <w:r w:rsidRPr="00F43FD1">
        <w:rPr>
          <w:rFonts w:ascii="Arial" w:hAnsi="Arial" w:cs="Arial"/>
          <w:i/>
          <w:sz w:val="18"/>
          <w:szCs w:val="18"/>
        </w:rPr>
        <w:t>.</w:t>
      </w:r>
    </w:p>
    <w:p w:rsidR="00A25D76" w:rsidRPr="00F43FD1" w:rsidRDefault="00A25D76" w:rsidP="003A4A84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b/>
          <w:sz w:val="18"/>
          <w:szCs w:val="18"/>
        </w:rPr>
      </w:pPr>
      <w:r w:rsidRPr="00F43FD1">
        <w:rPr>
          <w:rFonts w:ascii="Arial" w:hAnsi="Arial" w:cs="Arial"/>
          <w:b/>
          <w:sz w:val="18"/>
          <w:szCs w:val="18"/>
        </w:rPr>
        <w:t>3.</w:t>
      </w:r>
      <w:r w:rsidRPr="00F43FD1">
        <w:rPr>
          <w:rFonts w:ascii="Arial" w:hAnsi="Arial" w:cs="Arial"/>
          <w:b/>
          <w:sz w:val="18"/>
          <w:szCs w:val="18"/>
        </w:rPr>
        <w:tab/>
      </w:r>
      <w:r w:rsidRPr="00F43FD1">
        <w:rPr>
          <w:rFonts w:ascii="Arial" w:hAnsi="Arial" w:cs="Arial"/>
          <w:b/>
          <w:sz w:val="18"/>
          <w:szCs w:val="18"/>
          <w:u w:val="single"/>
        </w:rPr>
        <w:t>SUPPLY OF MATERIALS</w:t>
      </w: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iCs/>
          <w:sz w:val="18"/>
          <w:szCs w:val="18"/>
        </w:rPr>
      </w:pPr>
      <w:r w:rsidRPr="00F43FD1">
        <w:rPr>
          <w:rFonts w:ascii="Arial" w:hAnsi="Arial" w:cs="Arial"/>
          <w:i/>
          <w:iCs/>
          <w:sz w:val="18"/>
          <w:szCs w:val="18"/>
        </w:rPr>
        <w:t xml:space="preserve">The following materials will be supplied by the Principal ex </w:t>
      </w:r>
      <w:r w:rsidR="00466AE6" w:rsidRPr="00F43FD1">
        <w:rPr>
          <w:rFonts w:ascii="Arial" w:hAnsi="Arial" w:cs="Arial"/>
          <w:i/>
          <w:iCs/>
          <w:sz w:val="18"/>
          <w:szCs w:val="18"/>
        </w:rPr>
        <w:t>DPTI</w:t>
      </w:r>
      <w:r w:rsidRPr="00F43FD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F43FD1">
        <w:rPr>
          <w:rFonts w:ascii="Arial" w:hAnsi="Arial" w:cs="Arial"/>
          <w:i/>
          <w:iCs/>
          <w:sz w:val="18"/>
          <w:szCs w:val="18"/>
        </w:rPr>
        <w:t>Walkley</w:t>
      </w:r>
      <w:proofErr w:type="spellEnd"/>
      <w:r w:rsidRPr="00F43FD1">
        <w:rPr>
          <w:rFonts w:ascii="Arial" w:hAnsi="Arial" w:cs="Arial"/>
          <w:i/>
          <w:iCs/>
          <w:sz w:val="18"/>
          <w:szCs w:val="18"/>
        </w:rPr>
        <w:t xml:space="preserve"> Heights Depot, Wright Road</w:t>
      </w:r>
      <w:proofErr w:type="gramStart"/>
      <w:r w:rsidRPr="00F43FD1">
        <w:rPr>
          <w:rFonts w:ascii="Arial" w:hAnsi="Arial" w:cs="Arial"/>
          <w:i/>
          <w:iCs/>
          <w:sz w:val="18"/>
          <w:szCs w:val="18"/>
        </w:rPr>
        <w:t>;</w:t>
      </w:r>
      <w:proofErr w:type="gramEnd"/>
      <w:r w:rsidRPr="00F43FD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F43FD1">
        <w:rPr>
          <w:rFonts w:ascii="Arial" w:hAnsi="Arial" w:cs="Arial"/>
          <w:i/>
          <w:iCs/>
          <w:sz w:val="18"/>
          <w:szCs w:val="18"/>
        </w:rPr>
        <w:t>Walkley</w:t>
      </w:r>
      <w:proofErr w:type="spellEnd"/>
      <w:r w:rsidRPr="00F43FD1">
        <w:rPr>
          <w:rFonts w:ascii="Arial" w:hAnsi="Arial" w:cs="Arial"/>
          <w:i/>
          <w:iCs/>
          <w:sz w:val="18"/>
          <w:szCs w:val="18"/>
        </w:rPr>
        <w:t xml:space="preserve"> Heights.</w:t>
      </w: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</w:rPr>
      </w:pP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F43FD1">
        <w:rPr>
          <w:rFonts w:ascii="Arial" w:hAnsi="Arial" w:cs="Arial"/>
          <w:i/>
          <w:sz w:val="18"/>
          <w:szCs w:val="18"/>
          <w:u w:val="single"/>
        </w:rPr>
        <w:t>Timber – Seawall</w:t>
      </w: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28"/>
        <w:gridCol w:w="989"/>
        <w:gridCol w:w="6420"/>
      </w:tblGrid>
      <w:tr w:rsidR="005E4C5D" w:rsidRPr="00F43FD1" w:rsidTr="00002CD5">
        <w:tc>
          <w:tcPr>
            <w:tcW w:w="1134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Planks</w:t>
            </w:r>
          </w:p>
        </w:tc>
        <w:tc>
          <w:tcPr>
            <w:tcW w:w="992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340 No.</w:t>
            </w:r>
          </w:p>
        </w:tc>
        <w:tc>
          <w:tcPr>
            <w:tcW w:w="6521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3700x300x150 mm </w:t>
            </w:r>
          </w:p>
        </w:tc>
      </w:tr>
      <w:tr w:rsidR="005E4C5D" w:rsidRPr="00F43FD1" w:rsidTr="00002CD5">
        <w:tc>
          <w:tcPr>
            <w:tcW w:w="1134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43FD1">
              <w:rPr>
                <w:rFonts w:ascii="Arial" w:hAnsi="Arial" w:cs="Arial"/>
                <w:i/>
                <w:sz w:val="18"/>
                <w:szCs w:val="18"/>
              </w:rPr>
              <w:t>Walings</w:t>
            </w:r>
            <w:proofErr w:type="spellEnd"/>
          </w:p>
        </w:tc>
        <w:tc>
          <w:tcPr>
            <w:tcW w:w="992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95 No.</w:t>
            </w:r>
          </w:p>
        </w:tc>
        <w:tc>
          <w:tcPr>
            <w:tcW w:w="6521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2100x300x150 mm</w:t>
            </w:r>
          </w:p>
        </w:tc>
      </w:tr>
      <w:tr w:rsidR="005E4C5D" w:rsidRPr="00F43FD1" w:rsidTr="00002CD5">
        <w:tc>
          <w:tcPr>
            <w:tcW w:w="1134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Kerbing</w:t>
            </w:r>
          </w:p>
        </w:tc>
        <w:tc>
          <w:tcPr>
            <w:tcW w:w="992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16 No.</w:t>
            </w:r>
          </w:p>
        </w:tc>
        <w:tc>
          <w:tcPr>
            <w:tcW w:w="6521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6000x300x150 mm</w:t>
            </w:r>
          </w:p>
        </w:tc>
      </w:tr>
    </w:tbl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F43FD1">
        <w:rPr>
          <w:rFonts w:ascii="Arial" w:hAnsi="Arial" w:cs="Arial"/>
          <w:i/>
          <w:sz w:val="18"/>
          <w:szCs w:val="18"/>
          <w:u w:val="single"/>
        </w:rPr>
        <w:t>Timber – Jetty</w:t>
      </w: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18"/>
        <w:gridCol w:w="987"/>
        <w:gridCol w:w="6332"/>
      </w:tblGrid>
      <w:tr w:rsidR="005E4C5D" w:rsidRPr="00F43FD1" w:rsidTr="00002CD5">
        <w:tc>
          <w:tcPr>
            <w:tcW w:w="1219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Corbels</w:t>
            </w:r>
          </w:p>
        </w:tc>
        <w:tc>
          <w:tcPr>
            <w:tcW w:w="992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6 No.</w:t>
            </w:r>
          </w:p>
        </w:tc>
        <w:tc>
          <w:tcPr>
            <w:tcW w:w="6436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1500x300x150 mm</w:t>
            </w:r>
          </w:p>
        </w:tc>
      </w:tr>
      <w:tr w:rsidR="005E4C5D" w:rsidRPr="00F43FD1" w:rsidTr="00002CD5">
        <w:tc>
          <w:tcPr>
            <w:tcW w:w="1219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Decking</w:t>
            </w:r>
          </w:p>
        </w:tc>
        <w:tc>
          <w:tcPr>
            <w:tcW w:w="992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40 No.</w:t>
            </w:r>
          </w:p>
        </w:tc>
        <w:tc>
          <w:tcPr>
            <w:tcW w:w="6436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3000x225x75 mm</w:t>
            </w:r>
          </w:p>
        </w:tc>
      </w:tr>
      <w:tr w:rsidR="005E4C5D" w:rsidRPr="00F43FD1" w:rsidTr="00002CD5">
        <w:tc>
          <w:tcPr>
            <w:tcW w:w="1219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Girders</w:t>
            </w:r>
          </w:p>
        </w:tc>
        <w:tc>
          <w:tcPr>
            <w:tcW w:w="992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6 No.</w:t>
            </w:r>
          </w:p>
        </w:tc>
        <w:tc>
          <w:tcPr>
            <w:tcW w:w="6436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3900x300x150 mm</w:t>
            </w:r>
          </w:p>
        </w:tc>
      </w:tr>
      <w:tr w:rsidR="005E4C5D" w:rsidRPr="00F43FD1" w:rsidTr="00002CD5">
        <w:tc>
          <w:tcPr>
            <w:tcW w:w="1219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Kerbing</w:t>
            </w:r>
          </w:p>
        </w:tc>
        <w:tc>
          <w:tcPr>
            <w:tcW w:w="992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4 No.</w:t>
            </w:r>
          </w:p>
        </w:tc>
        <w:tc>
          <w:tcPr>
            <w:tcW w:w="6436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4500x150x100 mm</w:t>
            </w:r>
            <w:bookmarkStart w:id="1" w:name="_GoBack"/>
            <w:bookmarkEnd w:id="1"/>
          </w:p>
        </w:tc>
      </w:tr>
      <w:tr w:rsidR="005E4C5D" w:rsidRPr="00F43FD1" w:rsidTr="00002CD5">
        <w:tc>
          <w:tcPr>
            <w:tcW w:w="1219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Crossheads</w:t>
            </w:r>
          </w:p>
        </w:tc>
        <w:tc>
          <w:tcPr>
            <w:tcW w:w="992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4 No. </w:t>
            </w:r>
          </w:p>
        </w:tc>
        <w:tc>
          <w:tcPr>
            <w:tcW w:w="6436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3600x300x150 mm</w:t>
            </w:r>
          </w:p>
        </w:tc>
      </w:tr>
    </w:tbl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iCs/>
          <w:sz w:val="18"/>
          <w:szCs w:val="18"/>
        </w:rPr>
      </w:pPr>
      <w:r w:rsidRPr="00F43FD1">
        <w:rPr>
          <w:rFonts w:ascii="Arial" w:hAnsi="Arial" w:cs="Arial"/>
          <w:i/>
          <w:iCs/>
          <w:sz w:val="18"/>
          <w:szCs w:val="18"/>
        </w:rPr>
        <w:lastRenderedPageBreak/>
        <w:t>The following materials will be supplied by the Principal ex Beachport Boatyard.</w:t>
      </w: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  <w:u w:val="single"/>
        </w:rPr>
      </w:pP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F43FD1">
        <w:rPr>
          <w:rFonts w:ascii="Arial" w:hAnsi="Arial" w:cs="Arial"/>
          <w:i/>
          <w:sz w:val="18"/>
          <w:szCs w:val="18"/>
          <w:u w:val="single"/>
        </w:rPr>
        <w:t>Steel Piles (Pre-coated</w:t>
      </w:r>
      <w:proofErr w:type="gramStart"/>
      <w:r w:rsidRPr="00F43FD1">
        <w:rPr>
          <w:rFonts w:ascii="Arial" w:hAnsi="Arial" w:cs="Arial"/>
          <w:i/>
          <w:sz w:val="18"/>
          <w:szCs w:val="18"/>
          <w:u w:val="single"/>
        </w:rPr>
        <w:t>)–</w:t>
      </w:r>
      <w:proofErr w:type="gramEnd"/>
      <w:r w:rsidRPr="00F43FD1">
        <w:rPr>
          <w:rFonts w:ascii="Arial" w:hAnsi="Arial" w:cs="Arial"/>
          <w:i/>
          <w:sz w:val="18"/>
          <w:szCs w:val="18"/>
          <w:u w:val="single"/>
        </w:rPr>
        <w:t xml:space="preserve"> Seawall</w:t>
      </w: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49"/>
        <w:gridCol w:w="7688"/>
      </w:tblGrid>
      <w:tr w:rsidR="005E4C5D" w:rsidRPr="00F43FD1" w:rsidTr="00002CD5">
        <w:tc>
          <w:tcPr>
            <w:tcW w:w="851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48 No.</w:t>
            </w:r>
          </w:p>
        </w:tc>
        <w:tc>
          <w:tcPr>
            <w:tcW w:w="7796" w:type="dxa"/>
          </w:tcPr>
          <w:p w:rsidR="005E4C5D" w:rsidRPr="00F43FD1" w:rsidRDefault="005E4C5D" w:rsidP="003A4A84">
            <w:pPr>
              <w:pStyle w:val="TenderText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43FD1">
              <w:rPr>
                <w:rFonts w:ascii="Arial" w:hAnsi="Arial" w:cs="Arial"/>
                <w:i/>
                <w:sz w:val="18"/>
                <w:szCs w:val="18"/>
              </w:rPr>
              <w:t>7500x200x200x16 mm C350RHS</w:t>
            </w:r>
          </w:p>
        </w:tc>
      </w:tr>
    </w:tbl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</w:rPr>
      </w:pPr>
    </w:p>
    <w:p w:rsidR="005E4C5D" w:rsidRPr="00F43FD1" w:rsidRDefault="005E4C5D" w:rsidP="003A4A84">
      <w:pPr>
        <w:pStyle w:val="TenderText"/>
        <w:jc w:val="left"/>
        <w:rPr>
          <w:rFonts w:ascii="Arial" w:hAnsi="Arial" w:cs="Arial"/>
          <w:i/>
          <w:sz w:val="18"/>
          <w:szCs w:val="18"/>
        </w:rPr>
      </w:pPr>
      <w:proofErr w:type="gramStart"/>
      <w:r w:rsidRPr="00F43FD1">
        <w:rPr>
          <w:rFonts w:ascii="Arial" w:hAnsi="Arial" w:cs="Arial"/>
          <w:i/>
          <w:sz w:val="18"/>
          <w:szCs w:val="18"/>
        </w:rPr>
        <w:t xml:space="preserve">Unused materials supplied by the Principal </w:t>
      </w:r>
      <w:r w:rsidR="004F3F5D" w:rsidRPr="00F43FD1">
        <w:rPr>
          <w:rFonts w:ascii="Arial" w:hAnsi="Arial" w:cs="Arial"/>
          <w:i/>
          <w:sz w:val="18"/>
          <w:szCs w:val="18"/>
        </w:rPr>
        <w:t>will</w:t>
      </w:r>
      <w:r w:rsidRPr="00F43FD1">
        <w:rPr>
          <w:rFonts w:ascii="Arial" w:hAnsi="Arial" w:cs="Arial"/>
          <w:i/>
          <w:sz w:val="18"/>
          <w:szCs w:val="18"/>
        </w:rPr>
        <w:t xml:space="preserve"> remain the property of the Principal and </w:t>
      </w:r>
      <w:r w:rsidR="004F3F5D" w:rsidRPr="00F43FD1">
        <w:rPr>
          <w:rFonts w:ascii="Arial" w:hAnsi="Arial" w:cs="Arial"/>
          <w:i/>
          <w:sz w:val="18"/>
          <w:szCs w:val="18"/>
        </w:rPr>
        <w:t>must</w:t>
      </w:r>
      <w:r w:rsidRPr="00F43FD1">
        <w:rPr>
          <w:rFonts w:ascii="Arial" w:hAnsi="Arial" w:cs="Arial"/>
          <w:i/>
          <w:sz w:val="18"/>
          <w:szCs w:val="18"/>
        </w:rPr>
        <w:t xml:space="preserve"> be returned to the </w:t>
      </w:r>
      <w:r w:rsidR="00466AE6" w:rsidRPr="00F43FD1">
        <w:rPr>
          <w:rFonts w:ascii="Arial" w:hAnsi="Arial" w:cs="Arial"/>
          <w:i/>
          <w:sz w:val="18"/>
          <w:szCs w:val="18"/>
        </w:rPr>
        <w:t>DPTI</w:t>
      </w:r>
      <w:r w:rsidRPr="00F43FD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43FD1">
        <w:rPr>
          <w:rFonts w:ascii="Arial" w:hAnsi="Arial" w:cs="Arial"/>
          <w:i/>
          <w:sz w:val="18"/>
          <w:szCs w:val="18"/>
        </w:rPr>
        <w:t>Walkley</w:t>
      </w:r>
      <w:proofErr w:type="spellEnd"/>
      <w:r w:rsidRPr="00F43FD1">
        <w:rPr>
          <w:rFonts w:ascii="Arial" w:hAnsi="Arial" w:cs="Arial"/>
          <w:i/>
          <w:sz w:val="18"/>
          <w:szCs w:val="18"/>
        </w:rPr>
        <w:t xml:space="preserve"> Heights Depot by the Contractor.</w:t>
      </w:r>
      <w:proofErr w:type="gramEnd"/>
    </w:p>
    <w:p w:rsidR="00D71095" w:rsidRPr="00F43FD1" w:rsidRDefault="00D71095" w:rsidP="003A4A84">
      <w:pPr>
        <w:jc w:val="left"/>
        <w:rPr>
          <w:rFonts w:ascii="Arial" w:hAnsi="Arial" w:cs="Arial"/>
          <w:sz w:val="18"/>
          <w:szCs w:val="18"/>
        </w:rPr>
      </w:pPr>
    </w:p>
    <w:p w:rsidR="00B70334" w:rsidRPr="00F43FD1" w:rsidRDefault="00B70334" w:rsidP="003A4A84">
      <w:pPr>
        <w:pStyle w:val="TenderText"/>
        <w:jc w:val="left"/>
        <w:rPr>
          <w:rFonts w:ascii="Arial" w:hAnsi="Arial" w:cs="Arial"/>
          <w:b/>
          <w:sz w:val="18"/>
          <w:szCs w:val="18"/>
        </w:rPr>
      </w:pPr>
      <w:r w:rsidRPr="00F43FD1">
        <w:rPr>
          <w:rFonts w:ascii="Arial" w:hAnsi="Arial" w:cs="Arial"/>
          <w:b/>
          <w:sz w:val="18"/>
          <w:szCs w:val="18"/>
        </w:rPr>
        <w:t>4.</w:t>
      </w:r>
      <w:r w:rsidRPr="00F43FD1">
        <w:rPr>
          <w:rFonts w:ascii="Arial" w:hAnsi="Arial" w:cs="Arial"/>
          <w:b/>
          <w:sz w:val="18"/>
          <w:szCs w:val="18"/>
        </w:rPr>
        <w:tab/>
      </w:r>
      <w:r w:rsidRPr="00F43FD1">
        <w:rPr>
          <w:rFonts w:ascii="Arial" w:hAnsi="Arial" w:cs="Arial"/>
          <w:b/>
          <w:sz w:val="18"/>
          <w:szCs w:val="18"/>
          <w:u w:val="single"/>
        </w:rPr>
        <w:t>CONTRACT TIME</w:t>
      </w:r>
    </w:p>
    <w:p w:rsidR="00B70334" w:rsidRPr="00F43FD1" w:rsidRDefault="00B70334" w:rsidP="003A4A84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B70334" w:rsidRPr="00F43FD1" w:rsidRDefault="00B70334" w:rsidP="003A4A84">
      <w:pPr>
        <w:pStyle w:val="TenderText"/>
        <w:jc w:val="left"/>
        <w:rPr>
          <w:rFonts w:ascii="Arial" w:hAnsi="Arial" w:cs="Arial"/>
          <w:i/>
          <w:sz w:val="18"/>
          <w:szCs w:val="18"/>
        </w:rPr>
      </w:pPr>
      <w:r w:rsidRPr="00F43FD1">
        <w:rPr>
          <w:rFonts w:ascii="Arial" w:hAnsi="Arial" w:cs="Arial"/>
          <w:i/>
          <w:sz w:val="18"/>
          <w:szCs w:val="18"/>
          <w:highlight w:val="yellow"/>
          <w:u w:val="single"/>
        </w:rPr>
        <w:t>Only</w:t>
      </w:r>
      <w:r w:rsidRPr="00F43FD1">
        <w:rPr>
          <w:rFonts w:ascii="Arial" w:hAnsi="Arial" w:cs="Arial"/>
          <w:i/>
          <w:sz w:val="18"/>
          <w:szCs w:val="18"/>
          <w:highlight w:val="yellow"/>
        </w:rPr>
        <w:t xml:space="preserve"> include this clause if not covered in Annexure to AS 2124 at item 35.2.</w:t>
      </w:r>
    </w:p>
    <w:p w:rsidR="00B70334" w:rsidRPr="00F43FD1" w:rsidRDefault="00B70334" w:rsidP="003A4A84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B70334" w:rsidRPr="00F43FD1" w:rsidRDefault="00B70334" w:rsidP="003A4A84">
      <w:pPr>
        <w:jc w:val="left"/>
        <w:rPr>
          <w:rFonts w:ascii="Arial" w:hAnsi="Arial" w:cs="Arial"/>
          <w:sz w:val="18"/>
          <w:szCs w:val="18"/>
        </w:rPr>
      </w:pPr>
    </w:p>
    <w:p w:rsidR="00B70334" w:rsidRPr="00F43FD1" w:rsidRDefault="00B70334">
      <w:pPr>
        <w:rPr>
          <w:rFonts w:ascii="Arial" w:hAnsi="Arial" w:cs="Arial"/>
          <w:sz w:val="18"/>
          <w:szCs w:val="18"/>
        </w:rPr>
      </w:pPr>
    </w:p>
    <w:sectPr w:rsidR="00B70334" w:rsidRPr="00F43FD1" w:rsidSect="005E4C5D">
      <w:headerReference w:type="default" r:id="rId7"/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D5" w:rsidRDefault="00002CD5">
      <w:r>
        <w:separator/>
      </w:r>
    </w:p>
  </w:endnote>
  <w:endnote w:type="continuationSeparator" w:id="0">
    <w:p w:rsidR="00002CD5" w:rsidRDefault="0000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53" w:rsidRPr="00F43FD1" w:rsidRDefault="007E2753" w:rsidP="00A25D76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:rsidR="007E2753" w:rsidRPr="00F43FD1" w:rsidRDefault="00466AE6" w:rsidP="00A25D76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Style w:val="PageNumber"/>
        <w:rFonts w:ascii="Arial" w:hAnsi="Arial" w:cs="Arial"/>
        <w:sz w:val="18"/>
        <w:szCs w:val="18"/>
      </w:rPr>
    </w:pPr>
    <w:r w:rsidRPr="00F43FD1">
      <w:rPr>
        <w:rFonts w:ascii="Arial" w:hAnsi="Arial" w:cs="Arial"/>
        <w:sz w:val="18"/>
        <w:szCs w:val="18"/>
      </w:rPr>
      <w:t>DPTI</w:t>
    </w:r>
    <w:r w:rsidR="007E2753" w:rsidRPr="00F43FD1">
      <w:rPr>
        <w:rFonts w:ascii="Arial" w:hAnsi="Arial" w:cs="Arial"/>
        <w:sz w:val="18"/>
        <w:szCs w:val="18"/>
      </w:rPr>
      <w:t xml:space="preserve"> </w:t>
    </w:r>
    <w:r w:rsidR="00CC7FC4" w:rsidRPr="00F43FD1">
      <w:rPr>
        <w:rFonts w:ascii="Arial" w:hAnsi="Arial" w:cs="Arial"/>
        <w:sz w:val="18"/>
        <w:szCs w:val="18"/>
      </w:rPr>
      <w:t>X</w:t>
    </w:r>
    <w:r w:rsidR="007E2753" w:rsidRPr="00F43FD1">
      <w:rPr>
        <w:rFonts w:ascii="Arial" w:hAnsi="Arial" w:cs="Arial"/>
        <w:sz w:val="18"/>
        <w:szCs w:val="18"/>
      </w:rPr>
      <w:t>XCxxx</w:t>
    </w:r>
    <w:r w:rsidR="007E2753" w:rsidRPr="00F43FD1">
      <w:rPr>
        <w:rFonts w:ascii="Arial" w:hAnsi="Arial" w:cs="Arial"/>
        <w:sz w:val="18"/>
        <w:szCs w:val="18"/>
      </w:rPr>
      <w:tab/>
      <w:t xml:space="preserve">Page </w:t>
    </w:r>
    <w:r w:rsidR="007E2753" w:rsidRPr="00F43FD1">
      <w:rPr>
        <w:rStyle w:val="PageNumber"/>
        <w:rFonts w:ascii="Arial" w:hAnsi="Arial" w:cs="Arial"/>
        <w:sz w:val="18"/>
        <w:szCs w:val="18"/>
      </w:rPr>
      <w:fldChar w:fldCharType="begin"/>
    </w:r>
    <w:r w:rsidR="007E2753" w:rsidRPr="00F43FD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E2753" w:rsidRPr="00F43FD1">
      <w:rPr>
        <w:rStyle w:val="PageNumber"/>
        <w:rFonts w:ascii="Arial" w:hAnsi="Arial" w:cs="Arial"/>
        <w:sz w:val="18"/>
        <w:szCs w:val="18"/>
      </w:rPr>
      <w:fldChar w:fldCharType="separate"/>
    </w:r>
    <w:r w:rsidR="00F43FD1">
      <w:rPr>
        <w:rStyle w:val="PageNumber"/>
        <w:rFonts w:ascii="Arial" w:hAnsi="Arial" w:cs="Arial"/>
        <w:noProof/>
        <w:sz w:val="18"/>
        <w:szCs w:val="18"/>
      </w:rPr>
      <w:t>2</w:t>
    </w:r>
    <w:r w:rsidR="007E2753" w:rsidRPr="00F43FD1">
      <w:rPr>
        <w:rStyle w:val="PageNumber"/>
        <w:rFonts w:ascii="Arial" w:hAnsi="Arial" w:cs="Arial"/>
        <w:sz w:val="18"/>
        <w:szCs w:val="18"/>
      </w:rPr>
      <w:fldChar w:fldCharType="end"/>
    </w:r>
  </w:p>
  <w:p w:rsidR="006E4542" w:rsidRPr="00F43FD1" w:rsidRDefault="006E4542" w:rsidP="00A25D76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proofErr w:type="spellStart"/>
    <w:r w:rsidRPr="00F43FD1">
      <w:rPr>
        <w:rStyle w:val="PageNumber"/>
        <w:rFonts w:ascii="Arial" w:hAnsi="Arial" w:cs="Arial"/>
        <w:sz w:val="18"/>
        <w:szCs w:val="18"/>
      </w:rPr>
      <w:t>Revsion</w:t>
    </w:r>
    <w:proofErr w:type="spellEnd"/>
    <w:r w:rsidRPr="00F43FD1">
      <w:rPr>
        <w:rStyle w:val="PageNumber"/>
        <w:rFonts w:ascii="Arial" w:hAnsi="Arial" w:cs="Arial"/>
        <w:sz w:val="18"/>
        <w:szCs w:val="18"/>
      </w:rPr>
      <w:t xml:space="preserve">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D5" w:rsidRDefault="00002CD5">
      <w:r>
        <w:separator/>
      </w:r>
    </w:p>
  </w:footnote>
  <w:footnote w:type="continuationSeparator" w:id="0">
    <w:p w:rsidR="00002CD5" w:rsidRDefault="0000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53" w:rsidRPr="00F43FD1" w:rsidRDefault="007E2753" w:rsidP="005E4C5D">
    <w:pPr>
      <w:pStyle w:val="TenderText"/>
      <w:tabs>
        <w:tab w:val="right" w:pos="9356"/>
      </w:tabs>
      <w:rPr>
        <w:rFonts w:ascii="Arial" w:hAnsi="Arial" w:cs="Arial"/>
        <w:sz w:val="18"/>
        <w:szCs w:val="18"/>
      </w:rPr>
    </w:pPr>
    <w:r w:rsidRPr="004164E0">
      <w:rPr>
        <w:sz w:val="18"/>
        <w:szCs w:val="18"/>
      </w:rPr>
      <w:tab/>
    </w:r>
    <w:r w:rsidRPr="00F43FD1">
      <w:rPr>
        <w:rFonts w:ascii="Arial" w:hAnsi="Arial" w:cs="Arial"/>
        <w:sz w:val="18"/>
        <w:szCs w:val="18"/>
      </w:rPr>
      <w:t xml:space="preserve">Scope of </w:t>
    </w:r>
    <w:r w:rsidR="00FA22F0" w:rsidRPr="00F43FD1">
      <w:rPr>
        <w:rFonts w:ascii="Arial" w:hAnsi="Arial" w:cs="Arial"/>
        <w:sz w:val="18"/>
        <w:szCs w:val="18"/>
      </w:rPr>
      <w:t>Contract</w:t>
    </w:r>
  </w:p>
  <w:p w:rsidR="007E2753" w:rsidRPr="004164E0" w:rsidRDefault="007E275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241"/>
    <w:multiLevelType w:val="hybridMultilevel"/>
    <w:tmpl w:val="E8BE48B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FBC"/>
    <w:multiLevelType w:val="multilevel"/>
    <w:tmpl w:val="E8BE4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E70C3"/>
    <w:multiLevelType w:val="hybridMultilevel"/>
    <w:tmpl w:val="626885AA"/>
    <w:lvl w:ilvl="0" w:tplc="E0B05A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5D"/>
    <w:rsid w:val="00002CD5"/>
    <w:rsid w:val="00035491"/>
    <w:rsid w:val="000722AC"/>
    <w:rsid w:val="000730C1"/>
    <w:rsid w:val="000823A9"/>
    <w:rsid w:val="00086D4D"/>
    <w:rsid w:val="00092F90"/>
    <w:rsid w:val="000A0538"/>
    <w:rsid w:val="000B346E"/>
    <w:rsid w:val="000B5F00"/>
    <w:rsid w:val="000B66CB"/>
    <w:rsid w:val="000C0C6A"/>
    <w:rsid w:val="00103A6F"/>
    <w:rsid w:val="0015617B"/>
    <w:rsid w:val="001625A2"/>
    <w:rsid w:val="00167A78"/>
    <w:rsid w:val="0017412E"/>
    <w:rsid w:val="001B2366"/>
    <w:rsid w:val="001C640E"/>
    <w:rsid w:val="002076AB"/>
    <w:rsid w:val="00211857"/>
    <w:rsid w:val="00213430"/>
    <w:rsid w:val="00234DC3"/>
    <w:rsid w:val="002F37FB"/>
    <w:rsid w:val="003014E5"/>
    <w:rsid w:val="003434E9"/>
    <w:rsid w:val="00364CF6"/>
    <w:rsid w:val="003778D2"/>
    <w:rsid w:val="003900CE"/>
    <w:rsid w:val="003A1C34"/>
    <w:rsid w:val="003A4A84"/>
    <w:rsid w:val="003D0482"/>
    <w:rsid w:val="003D4052"/>
    <w:rsid w:val="003D612B"/>
    <w:rsid w:val="003E4A68"/>
    <w:rsid w:val="003F38B2"/>
    <w:rsid w:val="00401DF5"/>
    <w:rsid w:val="00412C20"/>
    <w:rsid w:val="004164E0"/>
    <w:rsid w:val="00435AB1"/>
    <w:rsid w:val="00466AE6"/>
    <w:rsid w:val="00474F4B"/>
    <w:rsid w:val="00491BFE"/>
    <w:rsid w:val="004C2496"/>
    <w:rsid w:val="004E1A9B"/>
    <w:rsid w:val="004F3F5D"/>
    <w:rsid w:val="0057189B"/>
    <w:rsid w:val="00582EBC"/>
    <w:rsid w:val="00584F02"/>
    <w:rsid w:val="005975CA"/>
    <w:rsid w:val="005D5D4E"/>
    <w:rsid w:val="005E4C5D"/>
    <w:rsid w:val="005F12D8"/>
    <w:rsid w:val="005F626D"/>
    <w:rsid w:val="006000C6"/>
    <w:rsid w:val="0069375F"/>
    <w:rsid w:val="00694902"/>
    <w:rsid w:val="00694AB7"/>
    <w:rsid w:val="006E3DB0"/>
    <w:rsid w:val="006E4542"/>
    <w:rsid w:val="0070376C"/>
    <w:rsid w:val="0070512A"/>
    <w:rsid w:val="007230BC"/>
    <w:rsid w:val="00741E3F"/>
    <w:rsid w:val="007A3062"/>
    <w:rsid w:val="007C146A"/>
    <w:rsid w:val="007C51E8"/>
    <w:rsid w:val="007C6738"/>
    <w:rsid w:val="007E2753"/>
    <w:rsid w:val="007E78BA"/>
    <w:rsid w:val="00800883"/>
    <w:rsid w:val="00835857"/>
    <w:rsid w:val="00843147"/>
    <w:rsid w:val="00875EB7"/>
    <w:rsid w:val="00890DF7"/>
    <w:rsid w:val="008C78F1"/>
    <w:rsid w:val="00906433"/>
    <w:rsid w:val="00907D76"/>
    <w:rsid w:val="0091162E"/>
    <w:rsid w:val="009212C5"/>
    <w:rsid w:val="00986016"/>
    <w:rsid w:val="009863F4"/>
    <w:rsid w:val="009C4535"/>
    <w:rsid w:val="009C5A4F"/>
    <w:rsid w:val="009D793F"/>
    <w:rsid w:val="009E7407"/>
    <w:rsid w:val="00A0444F"/>
    <w:rsid w:val="00A106B6"/>
    <w:rsid w:val="00A25D76"/>
    <w:rsid w:val="00A53AE1"/>
    <w:rsid w:val="00A72133"/>
    <w:rsid w:val="00A7683C"/>
    <w:rsid w:val="00A93FC7"/>
    <w:rsid w:val="00AA7CA4"/>
    <w:rsid w:val="00AD5743"/>
    <w:rsid w:val="00AD7221"/>
    <w:rsid w:val="00B1112E"/>
    <w:rsid w:val="00B11794"/>
    <w:rsid w:val="00B5688F"/>
    <w:rsid w:val="00B623B4"/>
    <w:rsid w:val="00B63DD6"/>
    <w:rsid w:val="00B70334"/>
    <w:rsid w:val="00B876F3"/>
    <w:rsid w:val="00BB7AA0"/>
    <w:rsid w:val="00C105F1"/>
    <w:rsid w:val="00C17610"/>
    <w:rsid w:val="00C25AF3"/>
    <w:rsid w:val="00C26FBF"/>
    <w:rsid w:val="00C277F6"/>
    <w:rsid w:val="00C372BD"/>
    <w:rsid w:val="00C67C26"/>
    <w:rsid w:val="00C74C19"/>
    <w:rsid w:val="00C83089"/>
    <w:rsid w:val="00C83888"/>
    <w:rsid w:val="00C87EFC"/>
    <w:rsid w:val="00C924D3"/>
    <w:rsid w:val="00CA429B"/>
    <w:rsid w:val="00CA554D"/>
    <w:rsid w:val="00CC1E0C"/>
    <w:rsid w:val="00CC7FC4"/>
    <w:rsid w:val="00CE389E"/>
    <w:rsid w:val="00CE5873"/>
    <w:rsid w:val="00D1540D"/>
    <w:rsid w:val="00D23F98"/>
    <w:rsid w:val="00D3419C"/>
    <w:rsid w:val="00D413A0"/>
    <w:rsid w:val="00D4462B"/>
    <w:rsid w:val="00D71095"/>
    <w:rsid w:val="00D76D5E"/>
    <w:rsid w:val="00D80FE9"/>
    <w:rsid w:val="00D85372"/>
    <w:rsid w:val="00D96626"/>
    <w:rsid w:val="00DF3537"/>
    <w:rsid w:val="00E336DD"/>
    <w:rsid w:val="00E35E51"/>
    <w:rsid w:val="00E43E5A"/>
    <w:rsid w:val="00E6306B"/>
    <w:rsid w:val="00E867AD"/>
    <w:rsid w:val="00E95039"/>
    <w:rsid w:val="00EA479C"/>
    <w:rsid w:val="00F03097"/>
    <w:rsid w:val="00F146C9"/>
    <w:rsid w:val="00F23EB5"/>
    <w:rsid w:val="00F24FDB"/>
    <w:rsid w:val="00F2773C"/>
    <w:rsid w:val="00F3650E"/>
    <w:rsid w:val="00F43FD1"/>
    <w:rsid w:val="00F45EFC"/>
    <w:rsid w:val="00FA22F0"/>
    <w:rsid w:val="00FB7394"/>
    <w:rsid w:val="00FD31C2"/>
    <w:rsid w:val="00FE0204"/>
    <w:rsid w:val="00FF1EAD"/>
    <w:rsid w:val="00FF5AD7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976FB-2339-4E23-9017-188075D7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5D"/>
    <w:pPr>
      <w:jc w:val="both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C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4C5D"/>
    <w:pPr>
      <w:tabs>
        <w:tab w:val="center" w:pos="4153"/>
        <w:tab w:val="right" w:pos="8306"/>
      </w:tabs>
    </w:pPr>
  </w:style>
  <w:style w:type="paragraph" w:customStyle="1" w:styleId="TenderText">
    <w:name w:val="Tender Text"/>
    <w:basedOn w:val="Normal"/>
    <w:rsid w:val="005E4C5D"/>
    <w:pPr>
      <w:suppressAutoHyphens/>
    </w:pPr>
  </w:style>
  <w:style w:type="table" w:styleId="TableGrid">
    <w:name w:val="Table Grid"/>
    <w:basedOn w:val="TableNormal"/>
    <w:rsid w:val="005E4C5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DPTI</dc:creator>
  <cp:keywords/>
  <dc:description/>
  <cp:lastModifiedBy>DPTI</cp:lastModifiedBy>
  <cp:revision>3</cp:revision>
  <dcterms:created xsi:type="dcterms:W3CDTF">2016-09-07T23:12:00Z</dcterms:created>
  <dcterms:modified xsi:type="dcterms:W3CDTF">2017-01-06T04:47:00Z</dcterms:modified>
</cp:coreProperties>
</file>