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F0" w:rsidRDefault="000D7B2E" w:rsidP="00AC4157">
      <w:pPr>
        <w:keepNext/>
        <w:jc w:val="left"/>
      </w:pPr>
      <w:r>
        <w:rPr>
          <w:noProof/>
          <w:lang w:eastAsia="en-AU"/>
        </w:rPr>
        <w:drawing>
          <wp:inline distT="0" distB="0" distL="0" distR="0">
            <wp:extent cx="2238375" cy="704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&lt;#GBC_CONTRACT.CONTRACT_NAME&gt;</w:t>
      </w:r>
    </w:p>
    <w:p w:rsidR="00B54CF0" w:rsidRDefault="00B54CF0" w:rsidP="00AC4157">
      <w:pPr>
        <w:tabs>
          <w:tab w:val="left" w:pos="567"/>
        </w:tabs>
        <w:ind w:left="720" w:hanging="720"/>
        <w:jc w:val="left"/>
        <w:rPr>
          <w:b/>
          <w:bCs/>
        </w:rPr>
      </w:pPr>
    </w:p>
    <w:p w:rsidR="00B54CF0" w:rsidRDefault="00B54CF0" w:rsidP="00AC4157">
      <w:pPr>
        <w:keepNext/>
        <w:jc w:val="left"/>
      </w:pPr>
    </w:p>
    <w:p w:rsidR="00B54CF0" w:rsidRDefault="00B54CF0" w:rsidP="00AC4157">
      <w:pPr>
        <w:keepNext/>
        <w:jc w:val="left"/>
      </w:pPr>
    </w:p>
    <w:p w:rsidR="00B54CF0" w:rsidRDefault="00B54CF0" w:rsidP="00AC4157">
      <w:pPr>
        <w:keepNext/>
        <w:jc w:val="left"/>
      </w:pPr>
    </w:p>
    <w:p w:rsidR="00B54CF0" w:rsidRDefault="00B54CF0" w:rsidP="00AC4157">
      <w:pPr>
        <w:keepNext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CONTRACT</w:t>
      </w:r>
    </w:p>
    <w:p w:rsidR="00B54CF0" w:rsidRDefault="00B54CF0" w:rsidP="00AC4157">
      <w:pPr>
        <w:pStyle w:val="Header"/>
        <w:keepNext/>
        <w:tabs>
          <w:tab w:val="clear" w:pos="4320"/>
          <w:tab w:val="clear" w:pos="8640"/>
        </w:tabs>
        <w:jc w:val="left"/>
      </w:pPr>
    </w:p>
    <w:p w:rsidR="00B54CF0" w:rsidRDefault="00B54CF0" w:rsidP="00AC4157">
      <w:pPr>
        <w:keepNext/>
        <w:tabs>
          <w:tab w:val="left" w:pos="3261"/>
        </w:tabs>
        <w:jc w:val="left"/>
        <w:rPr>
          <w:rFonts w:eastAsia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NO:</w:t>
      </w:r>
      <w:r>
        <w:rPr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>&lt;#GBC_TENDER.CONTRACT_NO&gt;</w:t>
      </w:r>
    </w:p>
    <w:p w:rsidR="00B54CF0" w:rsidRDefault="00B54CF0" w:rsidP="00AC4157">
      <w:pPr>
        <w:keepNext/>
        <w:tabs>
          <w:tab w:val="left" w:pos="3261"/>
        </w:tabs>
        <w:jc w:val="left"/>
        <w:rPr>
          <w:sz w:val="28"/>
          <w:szCs w:val="28"/>
        </w:rPr>
      </w:pPr>
    </w:p>
    <w:p w:rsidR="00B54CF0" w:rsidRDefault="00B54CF0" w:rsidP="00AC4157">
      <w:pPr>
        <w:keepNext/>
        <w:tabs>
          <w:tab w:val="left" w:pos="3261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CONTRACT VOLUME:</w:t>
      </w:r>
      <w:r>
        <w:rPr>
          <w:b/>
          <w:bCs/>
          <w:sz w:val="28"/>
          <w:szCs w:val="28"/>
        </w:rPr>
        <w:tab/>
        <w:t>1</w:t>
      </w: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pStyle w:val="Header"/>
        <w:keepNext/>
        <w:jc w:val="left"/>
      </w:pPr>
    </w:p>
    <w:p w:rsidR="00B54CF0" w:rsidRDefault="00B54CF0" w:rsidP="00AC4157">
      <w:pPr>
        <w:keepNext/>
        <w:jc w:val="left"/>
        <w:rPr>
          <w:b/>
          <w:bCs/>
          <w:sz w:val="24"/>
          <w:szCs w:val="24"/>
        </w:rPr>
        <w:sectPr w:rsidR="00B54CF0"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p w:rsidR="00B54CF0" w:rsidRDefault="00B54CF0" w:rsidP="00AC4157">
      <w:pPr>
        <w:keepNext/>
        <w:jc w:val="left"/>
        <w:rPr>
          <w:b/>
          <w:bCs/>
        </w:rPr>
      </w:pPr>
      <w:r>
        <w:rPr>
          <w:b/>
          <w:bCs/>
        </w:rPr>
        <w:lastRenderedPageBreak/>
        <w:t>CONTRACT DOCUMENTS</w:t>
      </w:r>
    </w:p>
    <w:p w:rsidR="002815E2" w:rsidRDefault="002815E2" w:rsidP="00AC4157">
      <w:pPr>
        <w:pStyle w:val="Header"/>
        <w:keepNext/>
        <w:tabs>
          <w:tab w:val="clear" w:pos="4320"/>
          <w:tab w:val="clear" w:pos="8640"/>
        </w:tabs>
        <w:spacing w:before="120"/>
        <w:jc w:val="left"/>
        <w:rPr>
          <w:b/>
          <w:bCs/>
          <w:u w:val="single"/>
        </w:rPr>
      </w:pPr>
      <w:r>
        <w:rPr>
          <w:b/>
          <w:bCs/>
          <w:u w:val="single"/>
        </w:rPr>
        <w:t>Bound into this document:</w:t>
      </w:r>
    </w:p>
    <w:p w:rsidR="00B54CF0" w:rsidRDefault="00B54CF0" w:rsidP="00AC4157">
      <w:pPr>
        <w:pStyle w:val="Heading4"/>
        <w:spacing w:before="120"/>
        <w:jc w:val="left"/>
      </w:pPr>
      <w:r>
        <w:t>Contract Volume 1:  Contract</w:t>
      </w:r>
    </w:p>
    <w:p w:rsidR="00F56E1D" w:rsidRPr="00A22D50" w:rsidRDefault="00F56E1D" w:rsidP="00AC4157">
      <w:pPr>
        <w:keepNext/>
        <w:ind w:left="567"/>
        <w:jc w:val="left"/>
      </w:pPr>
      <w:r w:rsidRPr="00A22D50">
        <w:t>Frontispiece</w:t>
      </w:r>
    </w:p>
    <w:p w:rsidR="00F56E1D" w:rsidRPr="00A22D50" w:rsidRDefault="00F56E1D" w:rsidP="00AC4157">
      <w:pPr>
        <w:keepNext/>
        <w:ind w:left="567"/>
        <w:jc w:val="left"/>
      </w:pPr>
      <w:r w:rsidRPr="00A22D50">
        <w:t>Recital and Preamble</w:t>
      </w:r>
    </w:p>
    <w:p w:rsidR="00F56E1D" w:rsidRPr="00A22D50" w:rsidRDefault="00F56E1D" w:rsidP="00AC4157">
      <w:pPr>
        <w:keepNext/>
        <w:ind w:left="567"/>
        <w:jc w:val="left"/>
      </w:pPr>
      <w:r w:rsidRPr="00A22D50">
        <w:t>Letter of Acceptance of Tender</w:t>
      </w:r>
    </w:p>
    <w:p w:rsidR="00F56E1D" w:rsidRPr="00A22D50" w:rsidRDefault="00F56E1D" w:rsidP="00AC4157">
      <w:pPr>
        <w:keepNext/>
        <w:ind w:left="567"/>
        <w:jc w:val="left"/>
      </w:pPr>
      <w:r w:rsidRPr="00A22D50">
        <w:t xml:space="preserve">Administration letter and attachments (Statutory Declaration, Schedule of Subcontractors and Superintendents </w:t>
      </w:r>
      <w:r w:rsidR="00E82F6F">
        <w:t>Authorities</w:t>
      </w:r>
      <w:r w:rsidRPr="00A22D50">
        <w:t xml:space="preserve"> Schedules)</w:t>
      </w:r>
    </w:p>
    <w:p w:rsidR="00635D17" w:rsidRPr="00686D06" w:rsidRDefault="00635D17" w:rsidP="00AC4157">
      <w:pPr>
        <w:keepNext/>
        <w:ind w:left="567"/>
        <w:jc w:val="left"/>
        <w:rPr>
          <w:color w:val="FF0000"/>
        </w:rPr>
      </w:pPr>
      <w:r>
        <w:rPr>
          <w:color w:val="FF0000"/>
        </w:rPr>
        <w:t>Addenda</w:t>
      </w:r>
    </w:p>
    <w:p w:rsidR="00F56E1D" w:rsidRPr="00F56E1D" w:rsidRDefault="00635D17" w:rsidP="00AC4157">
      <w:pPr>
        <w:keepNext/>
        <w:ind w:left="567"/>
        <w:jc w:val="left"/>
      </w:pPr>
      <w:r>
        <w:t>Post tender correspondence</w:t>
      </w:r>
    </w:p>
    <w:p w:rsidR="00F56E1D" w:rsidRPr="00A22D50" w:rsidRDefault="00F56E1D" w:rsidP="00AC4157">
      <w:pPr>
        <w:keepNext/>
        <w:ind w:left="567"/>
        <w:jc w:val="left"/>
      </w:pPr>
      <w:r w:rsidRPr="00A22D50">
        <w:t xml:space="preserve">Contractor’s </w:t>
      </w:r>
      <w:r w:rsidR="00686D06" w:rsidRPr="00686D06">
        <w:rPr>
          <w:color w:val="FF0000"/>
        </w:rPr>
        <w:t>Revised</w:t>
      </w:r>
      <w:r w:rsidR="00686D06">
        <w:rPr>
          <w:color w:val="FF0000"/>
        </w:rPr>
        <w:t xml:space="preserve"> </w:t>
      </w:r>
      <w:r w:rsidR="00686D06" w:rsidRPr="00A22D50">
        <w:t>Tender</w:t>
      </w:r>
      <w:r w:rsidR="00686D06">
        <w:t xml:space="preserve"> Form</w:t>
      </w:r>
    </w:p>
    <w:p w:rsidR="00635D17" w:rsidRDefault="00635D17" w:rsidP="00AC4157">
      <w:pPr>
        <w:keepNext/>
        <w:ind w:left="567"/>
        <w:jc w:val="left"/>
      </w:pPr>
      <w:r>
        <w:t>Special Conditions of Contract and Annexure</w:t>
      </w:r>
      <w:r w:rsidR="00AC4157">
        <w:t xml:space="preserve"> and:</w:t>
      </w:r>
    </w:p>
    <w:p w:rsidR="00635D17" w:rsidRPr="000D3B00" w:rsidRDefault="00635D17" w:rsidP="00AC4157">
      <w:pPr>
        <w:keepNext/>
        <w:ind w:left="851"/>
        <w:jc w:val="left"/>
      </w:pPr>
      <w:r w:rsidRPr="000D3B00">
        <w:t xml:space="preserve">Attachment 1  </w:t>
      </w:r>
      <w:r w:rsidR="000D3B00" w:rsidRPr="000D3B00">
        <w:t>Insurance Details</w:t>
      </w:r>
    </w:p>
    <w:p w:rsidR="00635D17" w:rsidRPr="000D3B00" w:rsidRDefault="00635D17" w:rsidP="00AC4157">
      <w:pPr>
        <w:keepNext/>
        <w:ind w:left="851"/>
        <w:jc w:val="left"/>
      </w:pPr>
      <w:r w:rsidRPr="000D3B00">
        <w:t xml:space="preserve">Attachment 2 </w:t>
      </w:r>
      <w:r w:rsidR="000D3B00" w:rsidRPr="000D3B00">
        <w:t xml:space="preserve"> Approved Form of </w:t>
      </w:r>
      <w:r w:rsidR="00E82F6F">
        <w:t xml:space="preserve">Unconditional </w:t>
      </w:r>
      <w:r w:rsidR="000D3B00" w:rsidRPr="000D3B00">
        <w:t>Undertaking</w:t>
      </w:r>
    </w:p>
    <w:p w:rsidR="00635D17" w:rsidRPr="000D3B00" w:rsidRDefault="00635D17" w:rsidP="00AC4157">
      <w:pPr>
        <w:keepNext/>
        <w:ind w:left="851"/>
        <w:jc w:val="left"/>
      </w:pPr>
      <w:r w:rsidRPr="000D3B00">
        <w:t xml:space="preserve">Attachment 3 </w:t>
      </w:r>
      <w:r w:rsidR="000D3B00" w:rsidRPr="000D3B00">
        <w:t xml:space="preserve"> Formal Instrument of Agreement</w:t>
      </w:r>
    </w:p>
    <w:p w:rsidR="00635D17" w:rsidRPr="00AC4157" w:rsidRDefault="00635D17" w:rsidP="00AC4157">
      <w:pPr>
        <w:keepNext/>
        <w:ind w:left="851"/>
        <w:jc w:val="left"/>
        <w:rPr>
          <w:color w:val="FF0000"/>
        </w:rPr>
      </w:pPr>
      <w:r w:rsidRPr="00AC4157">
        <w:rPr>
          <w:color w:val="FF0000"/>
        </w:rPr>
        <w:t xml:space="preserve">Attachment 4 </w:t>
      </w:r>
      <w:r w:rsidR="000D3B00" w:rsidRPr="00AC4157">
        <w:rPr>
          <w:color w:val="FF0000"/>
        </w:rPr>
        <w:t xml:space="preserve"> Industry Participation </w:t>
      </w:r>
      <w:r w:rsidR="005E486D">
        <w:rPr>
          <w:color w:val="FF0000"/>
        </w:rPr>
        <w:t xml:space="preserve">Policy </w:t>
      </w:r>
      <w:r w:rsidR="000D3B00" w:rsidRPr="00AC4157">
        <w:rPr>
          <w:color w:val="FF0000"/>
        </w:rPr>
        <w:t>Plan</w:t>
      </w:r>
    </w:p>
    <w:p w:rsidR="00635D17" w:rsidRDefault="00635D17" w:rsidP="00AC4157">
      <w:pPr>
        <w:keepNext/>
        <w:ind w:left="851"/>
        <w:jc w:val="left"/>
        <w:rPr>
          <w:color w:val="FF0000"/>
        </w:rPr>
      </w:pPr>
      <w:r w:rsidRPr="00AC4157">
        <w:rPr>
          <w:color w:val="FF0000"/>
        </w:rPr>
        <w:t xml:space="preserve">Attachment 5 </w:t>
      </w:r>
      <w:r w:rsidR="000D3B00" w:rsidRPr="00AC4157">
        <w:rPr>
          <w:color w:val="FF0000"/>
        </w:rPr>
        <w:t xml:space="preserve"> </w:t>
      </w:r>
      <w:r w:rsidR="00AC4157" w:rsidRPr="00AC4157">
        <w:rPr>
          <w:color w:val="FF0000"/>
        </w:rPr>
        <w:t xml:space="preserve">Industry Participation </w:t>
      </w:r>
      <w:r w:rsidR="005E486D">
        <w:rPr>
          <w:color w:val="FF0000"/>
        </w:rPr>
        <w:t xml:space="preserve">Policy </w:t>
      </w:r>
      <w:r w:rsidR="00AC4157" w:rsidRPr="00AC4157">
        <w:rPr>
          <w:color w:val="FF0000"/>
        </w:rPr>
        <w:t>Report Template</w:t>
      </w:r>
    </w:p>
    <w:p w:rsidR="00E82F6F" w:rsidRPr="00430557" w:rsidRDefault="00E82F6F" w:rsidP="00AC4157">
      <w:pPr>
        <w:keepNext/>
        <w:ind w:left="851"/>
        <w:jc w:val="left"/>
      </w:pPr>
      <w:r w:rsidRPr="00430557">
        <w:t>Attachment 6 – Deed of Novation</w:t>
      </w:r>
    </w:p>
    <w:p w:rsidR="00635D17" w:rsidRDefault="00635D17" w:rsidP="00AC4157">
      <w:pPr>
        <w:pStyle w:val="Header"/>
        <w:keepNext/>
        <w:ind w:left="567"/>
        <w:jc w:val="left"/>
        <w:rPr>
          <w:color w:val="FF0000"/>
        </w:rPr>
      </w:pPr>
      <w:r>
        <w:rPr>
          <w:color w:val="FF0000"/>
        </w:rPr>
        <w:t>Other documents included in the tender documents</w:t>
      </w:r>
    </w:p>
    <w:p w:rsidR="002815E2" w:rsidRDefault="002815E2" w:rsidP="00AC4157">
      <w:pPr>
        <w:pStyle w:val="Heading4"/>
        <w:spacing w:before="120"/>
        <w:jc w:val="left"/>
      </w:pPr>
      <w:r w:rsidRPr="006B5438">
        <w:t>Contract Volume 2:  Specification</w:t>
      </w:r>
    </w:p>
    <w:p w:rsidR="00F56E1D" w:rsidRPr="00A22D50" w:rsidRDefault="00F56E1D" w:rsidP="00AC4157">
      <w:pPr>
        <w:keepNext/>
        <w:widowControl w:val="0"/>
        <w:jc w:val="left"/>
        <w:rPr>
          <w:b/>
        </w:rPr>
      </w:pPr>
      <w:r w:rsidRPr="00A22D50">
        <w:rPr>
          <w:b/>
        </w:rPr>
        <w:t xml:space="preserve">Contract Volume 3: </w:t>
      </w:r>
      <w:r>
        <w:rPr>
          <w:b/>
        </w:rPr>
        <w:t xml:space="preserve"> </w:t>
      </w:r>
      <w:r w:rsidRPr="00A22D50">
        <w:rPr>
          <w:b/>
        </w:rPr>
        <w:t xml:space="preserve">Drawings </w:t>
      </w:r>
      <w:r w:rsidRPr="00F56E1D">
        <w:t>(A3 size)</w:t>
      </w:r>
    </w:p>
    <w:p w:rsidR="00B54CF0" w:rsidRPr="006B5438" w:rsidRDefault="00B54CF0" w:rsidP="00AC4157">
      <w:pPr>
        <w:pStyle w:val="Heading4"/>
        <w:spacing w:before="120"/>
        <w:jc w:val="left"/>
        <w:rPr>
          <w:u w:val="single"/>
        </w:rPr>
      </w:pPr>
      <w:r w:rsidRPr="006B5438">
        <w:rPr>
          <w:u w:val="single"/>
        </w:rPr>
        <w:t>Separate documents:</w:t>
      </w:r>
    </w:p>
    <w:p w:rsidR="00B54CF0" w:rsidRDefault="00B54CF0" w:rsidP="00AC4157">
      <w:pPr>
        <w:keepNext/>
        <w:ind w:left="567"/>
        <w:jc w:val="left"/>
      </w:pPr>
      <w:r w:rsidRPr="006B5438">
        <w:t>AS 2124</w:t>
      </w:r>
      <w:r w:rsidR="00E16B51" w:rsidRPr="006B5438">
        <w:t>―</w:t>
      </w:r>
      <w:r w:rsidRPr="006B5438">
        <w:t>1992 General conditions of contract</w:t>
      </w:r>
    </w:p>
    <w:p w:rsidR="00523979" w:rsidRPr="00523979" w:rsidRDefault="00523979" w:rsidP="00AC4157">
      <w:pPr>
        <w:keepNext/>
        <w:ind w:left="567"/>
        <w:jc w:val="left"/>
      </w:pPr>
      <w:r w:rsidRPr="00523979">
        <w:t>Code of Practice for the South Australian Construction Industry</w:t>
      </w:r>
    </w:p>
    <w:p w:rsidR="00F56E1D" w:rsidRDefault="00F56E1D" w:rsidP="00AC4157">
      <w:pPr>
        <w:pStyle w:val="Header"/>
        <w:keepNext/>
        <w:ind w:left="567"/>
        <w:jc w:val="left"/>
        <w:rPr>
          <w:color w:val="FF0000"/>
        </w:rPr>
      </w:pPr>
      <w:r>
        <w:rPr>
          <w:color w:val="FF0000"/>
        </w:rPr>
        <w:t xml:space="preserve">Other documents </w:t>
      </w:r>
      <w:r w:rsidR="00635D17">
        <w:rPr>
          <w:color w:val="FF0000"/>
        </w:rPr>
        <w:t xml:space="preserve">referred to by </w:t>
      </w:r>
      <w:r>
        <w:rPr>
          <w:color w:val="FF0000"/>
        </w:rPr>
        <w:t>the tender documents</w:t>
      </w:r>
    </w:p>
    <w:p w:rsidR="00523979" w:rsidRDefault="00523979" w:rsidP="00AC4157">
      <w:pPr>
        <w:keepNext/>
        <w:ind w:left="567"/>
        <w:jc w:val="left"/>
      </w:pPr>
    </w:p>
    <w:p w:rsidR="00B54CF0" w:rsidRDefault="00B54CF0" w:rsidP="00AC4157">
      <w:pPr>
        <w:pStyle w:val="Heading4"/>
        <w:spacing w:before="120"/>
        <w:jc w:val="left"/>
      </w:pPr>
      <w:r>
        <w:t>INFORMATION DOCUMENTS</w:t>
      </w:r>
    </w:p>
    <w:p w:rsidR="00B54CF0" w:rsidRDefault="00B54CF0" w:rsidP="00AC4157">
      <w:pPr>
        <w:pStyle w:val="Header"/>
        <w:keepNext/>
        <w:tabs>
          <w:tab w:val="clear" w:pos="4320"/>
          <w:tab w:val="clear" w:pos="8640"/>
        </w:tabs>
        <w:spacing w:before="120"/>
        <w:jc w:val="left"/>
        <w:rPr>
          <w:b/>
          <w:bCs/>
          <w:u w:val="single"/>
        </w:rPr>
      </w:pPr>
      <w:r>
        <w:rPr>
          <w:b/>
          <w:bCs/>
          <w:u w:val="single"/>
        </w:rPr>
        <w:t>Bound into this document:</w:t>
      </w:r>
    </w:p>
    <w:p w:rsidR="00B54CF0" w:rsidRDefault="00B54CF0" w:rsidP="00AC4157">
      <w:pPr>
        <w:pStyle w:val="Header"/>
        <w:keepNext/>
        <w:ind w:left="567"/>
        <w:jc w:val="left"/>
        <w:rPr>
          <w:color w:val="FF0000"/>
        </w:rPr>
      </w:pPr>
      <w:r>
        <w:rPr>
          <w:color w:val="FF0000"/>
        </w:rPr>
        <w:t xml:space="preserve">Other documents included </w:t>
      </w:r>
      <w:r w:rsidR="00635D17">
        <w:rPr>
          <w:color w:val="FF0000"/>
        </w:rPr>
        <w:t>in the</w:t>
      </w:r>
      <w:r>
        <w:rPr>
          <w:color w:val="FF0000"/>
        </w:rPr>
        <w:t xml:space="preserve"> tender documents</w:t>
      </w:r>
    </w:p>
    <w:p w:rsidR="00B54CF0" w:rsidRDefault="00B54CF0" w:rsidP="00AC4157">
      <w:pPr>
        <w:pStyle w:val="Heading4"/>
        <w:spacing w:before="120"/>
        <w:jc w:val="left"/>
        <w:rPr>
          <w:u w:val="single"/>
        </w:rPr>
      </w:pPr>
      <w:r>
        <w:rPr>
          <w:u w:val="single"/>
        </w:rPr>
        <w:t>Separate documents:</w:t>
      </w:r>
    </w:p>
    <w:p w:rsidR="00B54CF0" w:rsidRDefault="00B54CF0" w:rsidP="00AC4157">
      <w:pPr>
        <w:pStyle w:val="Header"/>
        <w:keepNext/>
        <w:spacing w:before="120"/>
        <w:ind w:left="567"/>
        <w:jc w:val="left"/>
        <w:rPr>
          <w:color w:val="FF0000"/>
        </w:rPr>
      </w:pPr>
      <w:r>
        <w:rPr>
          <w:color w:val="FF0000"/>
        </w:rPr>
        <w:t>Hazardous Materials inspection report, management plan and register</w:t>
      </w:r>
    </w:p>
    <w:p w:rsidR="00B54CF0" w:rsidRDefault="00B54CF0" w:rsidP="00AC4157">
      <w:pPr>
        <w:pStyle w:val="Header"/>
        <w:keepNext/>
        <w:ind w:left="567"/>
        <w:jc w:val="left"/>
        <w:rPr>
          <w:color w:val="FF0000"/>
        </w:rPr>
      </w:pPr>
      <w:r>
        <w:rPr>
          <w:color w:val="FF0000"/>
        </w:rPr>
        <w:t xml:space="preserve">Other documents </w:t>
      </w:r>
      <w:r w:rsidR="00635D17">
        <w:rPr>
          <w:color w:val="FF0000"/>
        </w:rPr>
        <w:t>referred to by</w:t>
      </w:r>
      <w:r>
        <w:rPr>
          <w:color w:val="FF0000"/>
        </w:rPr>
        <w:t xml:space="preserve"> tender documents</w:t>
      </w:r>
    </w:p>
    <w:p w:rsidR="00B54CF0" w:rsidRDefault="00B54CF0" w:rsidP="00AC4157">
      <w:pPr>
        <w:keepNext/>
        <w:jc w:val="left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 xml:space="preserve">CONTRACT </w:t>
      </w:r>
    </w:p>
    <w:p w:rsidR="00B54CF0" w:rsidRDefault="00B54CF0" w:rsidP="00AC4157">
      <w:pPr>
        <w:keepNext/>
        <w:jc w:val="left"/>
        <w:rPr>
          <w:b/>
          <w:bCs/>
          <w:u w:val="single"/>
        </w:rPr>
      </w:pPr>
    </w:p>
    <w:p w:rsidR="00B54CF0" w:rsidRDefault="00B54CF0" w:rsidP="00AC4157">
      <w:pPr>
        <w:keepNext/>
        <w:jc w:val="left"/>
        <w:rPr>
          <w:b/>
          <w:bCs/>
          <w:u w:val="single"/>
        </w:rPr>
      </w:pPr>
    </w:p>
    <w:p w:rsidR="00B54CF0" w:rsidRDefault="00B54CF0" w:rsidP="00AC4157">
      <w:pPr>
        <w:keepNext/>
        <w:jc w:val="left"/>
        <w:rPr>
          <w:b/>
          <w:bCs/>
        </w:rPr>
      </w:pPr>
      <w:r>
        <w:rPr>
          <w:b/>
          <w:bCs/>
          <w:u w:val="single"/>
        </w:rPr>
        <w:t>BETWEEN</w:t>
      </w:r>
      <w:r>
        <w:rPr>
          <w:b/>
          <w:bCs/>
        </w:rPr>
        <w:t>:</w:t>
      </w: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jc w:val="left"/>
        <w:rPr>
          <w:rFonts w:eastAsia="Arial Unicode MS"/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MINISTER FOR </w:t>
      </w:r>
      <w:r w:rsidR="007C785C">
        <w:rPr>
          <w:b/>
          <w:bCs/>
          <w:caps/>
          <w:u w:val="single"/>
        </w:rPr>
        <w:t xml:space="preserve">TRANSPORT AND </w:t>
      </w:r>
      <w:r>
        <w:rPr>
          <w:b/>
          <w:bCs/>
          <w:caps/>
          <w:u w:val="single"/>
        </w:rPr>
        <w:t>INFRASTRUCTURE</w:t>
      </w:r>
    </w:p>
    <w:p w:rsidR="00B54CF0" w:rsidRDefault="00B54CF0" w:rsidP="00AC4157">
      <w:pPr>
        <w:pStyle w:val="Heading4"/>
        <w:spacing w:before="120"/>
        <w:jc w:val="left"/>
      </w:pPr>
      <w:r>
        <w:t>(“the Principal”)</w:t>
      </w: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  <w:u w:val="single"/>
        </w:rPr>
      </w:pPr>
      <w:r>
        <w:rPr>
          <w:b/>
          <w:bCs/>
          <w:u w:val="single"/>
        </w:rPr>
        <w:t>AND</w:t>
      </w: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keepNext/>
        <w:jc w:val="left"/>
        <w:rPr>
          <w:b/>
          <w:bCs/>
        </w:rPr>
      </w:pPr>
    </w:p>
    <w:p w:rsidR="00B54CF0" w:rsidRDefault="00B54CF0" w:rsidP="00AC4157">
      <w:pPr>
        <w:jc w:val="left"/>
        <w:rPr>
          <w:rFonts w:eastAsia="Arial Unicode MS"/>
          <w:b/>
          <w:bCs/>
          <w:caps/>
          <w:u w:val="single"/>
        </w:rPr>
      </w:pPr>
      <w:r>
        <w:rPr>
          <w:b/>
          <w:bCs/>
          <w:caps/>
          <w:u w:val="single"/>
        </w:rPr>
        <w:t>&lt;#GBC_TENDER.AWARDED&gt;</w:t>
      </w:r>
    </w:p>
    <w:p w:rsidR="00B54CF0" w:rsidRDefault="00B54CF0" w:rsidP="00AC4157">
      <w:pPr>
        <w:pStyle w:val="Heading4"/>
        <w:spacing w:before="120"/>
        <w:jc w:val="left"/>
      </w:pPr>
      <w:r>
        <w:t>(“the Contractor”)</w:t>
      </w:r>
    </w:p>
    <w:p w:rsidR="00B54CF0" w:rsidRDefault="00B54CF0" w:rsidP="00AC4157">
      <w:pPr>
        <w:pStyle w:val="Heading4"/>
        <w:spacing w:before="120"/>
        <w:jc w:val="left"/>
      </w:pPr>
      <w:r>
        <w:rPr>
          <w:b w:val="0"/>
          <w:bCs w:val="0"/>
        </w:rPr>
        <w:br w:type="page"/>
      </w:r>
      <w:r>
        <w:t>RECITAL</w:t>
      </w:r>
    </w:p>
    <w:p w:rsidR="00B54CF0" w:rsidRDefault="00B54CF0" w:rsidP="00AC4157">
      <w:pPr>
        <w:keepNext/>
        <w:keepLines/>
        <w:jc w:val="left"/>
        <w:rPr>
          <w:snapToGrid w:val="0"/>
        </w:rPr>
      </w:pPr>
      <w:r>
        <w:rPr>
          <w:snapToGrid w:val="0"/>
        </w:rPr>
        <w:t xml:space="preserve">The </w:t>
      </w:r>
      <w:r>
        <w:t xml:space="preserve">Minister for </w:t>
      </w:r>
      <w:r w:rsidR="007C785C">
        <w:t xml:space="preserve">Transport and </w:t>
      </w:r>
      <w:r>
        <w:t xml:space="preserve">Infrastructure </w:t>
      </w:r>
      <w:r>
        <w:rPr>
          <w:snapToGrid w:val="0"/>
        </w:rPr>
        <w:t>enters into this Agreement as the party with whom the contractual rights and obligations lie.</w:t>
      </w:r>
    </w:p>
    <w:p w:rsidR="00B54CF0" w:rsidRDefault="00B54CF0" w:rsidP="00AC4157">
      <w:pPr>
        <w:keepNext/>
        <w:keepLines/>
        <w:jc w:val="left"/>
        <w:rPr>
          <w:snapToGrid w:val="0"/>
        </w:rPr>
      </w:pPr>
      <w:r>
        <w:rPr>
          <w:snapToGrid w:val="0"/>
        </w:rPr>
        <w:t>For the internal purposes of the State the Minister will deliver the project for the benefit of the State and in particular for the benefit of the</w:t>
      </w:r>
      <w:r>
        <w:rPr>
          <w:b/>
          <w:bCs/>
          <w:snapToGrid w:val="0"/>
        </w:rPr>
        <w:t xml:space="preserve"> </w:t>
      </w:r>
      <w:r w:rsidRPr="00F03A85">
        <w:rPr>
          <w:bCs/>
          <w:snapToGrid w:val="0"/>
        </w:rPr>
        <w:t xml:space="preserve">Minister of </w:t>
      </w:r>
      <w:r w:rsidRPr="00F03A85">
        <w:rPr>
          <w:bCs/>
          <w:snapToGrid w:val="0"/>
          <w:color w:val="FF0000"/>
        </w:rPr>
        <w:t>lead agency portfolio</w:t>
      </w:r>
      <w:r>
        <w:rPr>
          <w:snapToGrid w:val="0"/>
          <w:color w:val="FF0000"/>
        </w:rPr>
        <w:t>.</w:t>
      </w:r>
    </w:p>
    <w:p w:rsidR="00B54CF0" w:rsidRDefault="00B54CF0" w:rsidP="00AC4157">
      <w:pPr>
        <w:keepNext/>
        <w:keepLines/>
        <w:jc w:val="left"/>
        <w:rPr>
          <w:snapToGrid w:val="0"/>
        </w:rPr>
      </w:pPr>
      <w:r>
        <w:rPr>
          <w:snapToGrid w:val="0"/>
        </w:rPr>
        <w:t>However, nothing in this Agreement imposes any legal obligations on or vests any legal rights in the</w:t>
      </w:r>
      <w:r>
        <w:rPr>
          <w:i/>
          <w:iCs/>
          <w:snapToGrid w:val="0"/>
        </w:rPr>
        <w:t xml:space="preserve"> </w:t>
      </w:r>
      <w:r w:rsidRPr="00F03A85">
        <w:rPr>
          <w:bCs/>
          <w:snapToGrid w:val="0"/>
        </w:rPr>
        <w:t xml:space="preserve">Minister of </w:t>
      </w:r>
      <w:r w:rsidRPr="00F03A85">
        <w:rPr>
          <w:bCs/>
          <w:snapToGrid w:val="0"/>
          <w:color w:val="FF0000"/>
        </w:rPr>
        <w:t>lead agency portfolio</w:t>
      </w:r>
      <w:r>
        <w:rPr>
          <w:snapToGrid w:val="0"/>
        </w:rPr>
        <w:t>.</w:t>
      </w:r>
    </w:p>
    <w:p w:rsidR="00B54CF0" w:rsidRDefault="00B54CF0" w:rsidP="00AC4157">
      <w:pPr>
        <w:pStyle w:val="Heading1"/>
        <w:keepLines/>
        <w:numPr>
          <w:ilvl w:val="0"/>
          <w:numId w:val="0"/>
        </w:numPr>
        <w:jc w:val="left"/>
      </w:pPr>
      <w:bookmarkStart w:id="0" w:name="_Toc19358488"/>
      <w:r>
        <w:t>PREAMBLE</w:t>
      </w:r>
      <w:bookmarkEnd w:id="0"/>
    </w:p>
    <w:p w:rsidR="00B54CF0" w:rsidRDefault="006263B7" w:rsidP="00AC4157">
      <w:pPr>
        <w:keepNext/>
        <w:keepLines/>
        <w:jc w:val="left"/>
      </w:pPr>
      <w:r>
        <w:t>T</w:t>
      </w:r>
      <w:r w:rsidR="00B54CF0">
        <w:t xml:space="preserve">he Department </w:t>
      </w:r>
      <w:r w:rsidR="00BD7E27">
        <w:t>of</w:t>
      </w:r>
      <w:r w:rsidR="00B54CF0">
        <w:t xml:space="preserve"> </w:t>
      </w:r>
      <w:r w:rsidR="007C785C">
        <w:t xml:space="preserve">Planning, </w:t>
      </w:r>
      <w:r w:rsidR="00B54CF0">
        <w:t xml:space="preserve">Transport and Infrastructure </w:t>
      </w:r>
      <w:r w:rsidR="00BD7E27">
        <w:t xml:space="preserve">(DPTI) </w:t>
      </w:r>
      <w:r w:rsidR="00B54CF0">
        <w:t>provides asset, risk and project advice and management to the South Australian Government and its agencies and facilitates the interface between Government and the building and construction industry.</w:t>
      </w:r>
    </w:p>
    <w:p w:rsidR="00B54CF0" w:rsidRDefault="00B54CF0" w:rsidP="00AC4157">
      <w:pPr>
        <w:keepNext/>
        <w:keepLines/>
        <w:jc w:val="left"/>
      </w:pPr>
      <w:r>
        <w:t xml:space="preserve">In partnership with the building industry </w:t>
      </w:r>
      <w:r w:rsidR="006263B7">
        <w:t>DPTI</w:t>
      </w:r>
      <w:r>
        <w:t xml:space="preserve"> strives for excellence in the delivery of its projects to the South Australian community.</w:t>
      </w:r>
    </w:p>
    <w:p w:rsidR="00B54CF0" w:rsidRDefault="00B54CF0" w:rsidP="00AC4157">
      <w:pPr>
        <w:keepNext/>
        <w:keepLines/>
        <w:jc w:val="left"/>
      </w:pPr>
      <w:r>
        <w:t>The Contractor contracts to construct the works and to manage the sub-contractors while liaising with the Principal, Principal’s professional service contractors and all other relevant stakeholders in return for a Contract Price.</w:t>
      </w:r>
    </w:p>
    <w:p w:rsidR="00B54CF0" w:rsidRDefault="00B54CF0" w:rsidP="00AC4157">
      <w:pPr>
        <w:keepNext/>
        <w:keepLines/>
        <w:jc w:val="left"/>
      </w:pPr>
      <w:r>
        <w:t xml:space="preserve">This project is being delivered for the </w:t>
      </w:r>
      <w:r w:rsidRPr="00F03A85">
        <w:rPr>
          <w:bCs/>
        </w:rPr>
        <w:t>&lt;#Project.Lead_Agency&gt;</w:t>
      </w:r>
      <w:r>
        <w:t>.  The lead agency wishes to work as a team with D</w:t>
      </w:r>
      <w:r w:rsidR="007C785C">
        <w:t>PTI</w:t>
      </w:r>
      <w:r>
        <w:t>, the Contractor and the appointed professional service contractors to achieve project objectives particularly completion to specified quality, program and budget.</w:t>
      </w:r>
    </w:p>
    <w:p w:rsidR="00B54CF0" w:rsidRDefault="00B54CF0" w:rsidP="00AC4157">
      <w:pPr>
        <w:keepNext/>
        <w:keepLines/>
        <w:jc w:val="left"/>
        <w:sectPr w:rsidR="00B54CF0">
          <w:footerReference w:type="default" r:id="rId8"/>
          <w:pgSz w:w="11907" w:h="16840" w:code="9"/>
          <w:pgMar w:top="1418" w:right="1418" w:bottom="1418" w:left="1985" w:header="720" w:footer="720" w:gutter="0"/>
          <w:pgNumType w:start="1"/>
          <w:cols w:space="720"/>
        </w:sectPr>
      </w:pPr>
    </w:p>
    <w:p w:rsidR="00B54CF0" w:rsidRDefault="000D7B2E" w:rsidP="00AC4157">
      <w:pPr>
        <w:keepNext/>
        <w:keepLines/>
        <w:jc w:val="left"/>
      </w:pPr>
      <w:r>
        <w:rPr>
          <w:noProof/>
          <w:lang w:eastAsia="en-AU"/>
        </w:rPr>
        <w:drawing>
          <wp:inline distT="0" distB="0" distL="0" distR="0">
            <wp:extent cx="2238375" cy="704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  <w:rPr>
          <w:b/>
          <w:bCs/>
          <w:highlight w:val="yellow"/>
        </w:rPr>
      </w:pPr>
    </w:p>
    <w:p w:rsidR="00B54CF0" w:rsidRDefault="00B54CF0" w:rsidP="00AC4157">
      <w:pPr>
        <w:keepNext/>
        <w:keepLines/>
        <w:jc w:val="left"/>
        <w:rPr>
          <w:b/>
          <w:bCs/>
          <w:highlight w:val="yellow"/>
        </w:rPr>
      </w:pPr>
    </w:p>
    <w:p w:rsidR="00B54CF0" w:rsidRDefault="00B54CF0" w:rsidP="00AC4157">
      <w:pPr>
        <w:keepNext/>
        <w:keepLines/>
        <w:jc w:val="left"/>
        <w:rPr>
          <w:b/>
          <w:bCs/>
          <w:highlight w:val="yellow"/>
        </w:rPr>
      </w:pPr>
    </w:p>
    <w:p w:rsidR="00B54CF0" w:rsidRDefault="00B54CF0" w:rsidP="00AC4157">
      <w:pPr>
        <w:keepNext/>
        <w:keepLines/>
        <w:tabs>
          <w:tab w:val="left" w:pos="567"/>
        </w:tabs>
        <w:spacing w:after="0"/>
        <w:ind w:left="720" w:hanging="72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&lt;#GBC_CONTRACT.CONTRACT_NAME&gt;</w:t>
      </w:r>
    </w:p>
    <w:p w:rsidR="00B54CF0" w:rsidRDefault="00B54CF0" w:rsidP="00AC4157">
      <w:pPr>
        <w:keepNext/>
        <w:keepLines/>
        <w:tabs>
          <w:tab w:val="left" w:pos="567"/>
        </w:tabs>
        <w:ind w:left="720" w:hanging="720"/>
        <w:jc w:val="left"/>
        <w:rPr>
          <w:b/>
          <w:bCs/>
        </w:rPr>
      </w:pPr>
    </w:p>
    <w:p w:rsidR="00B54CF0" w:rsidRDefault="00B54CF0" w:rsidP="00AC4157">
      <w:pPr>
        <w:keepNext/>
        <w:keepLines/>
        <w:jc w:val="left"/>
      </w:pPr>
    </w:p>
    <w:p w:rsidR="00B54CF0" w:rsidRDefault="00B54CF0" w:rsidP="00AC4157">
      <w:pPr>
        <w:keepNext/>
        <w:keepLines/>
        <w:jc w:val="left"/>
      </w:pPr>
    </w:p>
    <w:p w:rsidR="00B54CF0" w:rsidRDefault="00B54CF0" w:rsidP="00AC4157">
      <w:pPr>
        <w:keepNext/>
        <w:keepLines/>
        <w:jc w:val="left"/>
      </w:pPr>
    </w:p>
    <w:p w:rsidR="00B54CF0" w:rsidRDefault="00B54CF0" w:rsidP="00AC4157">
      <w:pPr>
        <w:keepNext/>
        <w:keepLines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SPECIFICATION</w:t>
      </w:r>
    </w:p>
    <w:p w:rsidR="00B54CF0" w:rsidRDefault="00B54CF0" w:rsidP="00AC4157">
      <w:pPr>
        <w:pStyle w:val="Header"/>
        <w:keepNext/>
        <w:keepLines/>
        <w:tabs>
          <w:tab w:val="clear" w:pos="4320"/>
          <w:tab w:val="clear" w:pos="8640"/>
        </w:tabs>
        <w:jc w:val="left"/>
      </w:pPr>
    </w:p>
    <w:p w:rsidR="00B54CF0" w:rsidRDefault="00B54CF0" w:rsidP="00AC4157">
      <w:pPr>
        <w:keepNext/>
        <w:keepLines/>
        <w:tabs>
          <w:tab w:val="left" w:pos="3261"/>
        </w:tabs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CONTRACT NO:</w:t>
      </w:r>
      <w:r>
        <w:rPr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>&lt;#GBC_TENDER.CONTRACT_NO&gt;</w:t>
      </w:r>
    </w:p>
    <w:p w:rsidR="00B54CF0" w:rsidRDefault="00B54CF0" w:rsidP="00AC4157">
      <w:pPr>
        <w:keepNext/>
        <w:keepLines/>
        <w:tabs>
          <w:tab w:val="left" w:pos="3261"/>
        </w:tabs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CONTRACT VOLUME:</w:t>
      </w:r>
      <w:r>
        <w:rPr>
          <w:b/>
          <w:bCs/>
          <w:sz w:val="28"/>
          <w:szCs w:val="28"/>
        </w:rPr>
        <w:tab/>
        <w:t>2</w:t>
      </w:r>
    </w:p>
    <w:p w:rsidR="00B54CF0" w:rsidRDefault="00B54CF0" w:rsidP="00AC4157">
      <w:pPr>
        <w:keepNext/>
        <w:keepLines/>
        <w:jc w:val="left"/>
        <w:rPr>
          <w:sz w:val="28"/>
          <w:szCs w:val="28"/>
        </w:rPr>
      </w:pPr>
    </w:p>
    <w:sectPr w:rsidR="00B54CF0">
      <w:pgSz w:w="11907" w:h="16840" w:code="9"/>
      <w:pgMar w:top="1418" w:right="1418" w:bottom="1418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B6" w:rsidRDefault="00AB6BB6">
      <w:r>
        <w:separator/>
      </w:r>
    </w:p>
  </w:endnote>
  <w:endnote w:type="continuationSeparator" w:id="0">
    <w:p w:rsidR="00AB6BB6" w:rsidRDefault="00AB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F0" w:rsidRPr="00204974" w:rsidRDefault="00B54CF0" w:rsidP="00204974">
    <w:pPr>
      <w:jc w:val="right"/>
      <w:rPr>
        <w:rFonts w:eastAsia="Arial Unicode MS"/>
        <w:sz w:val="16"/>
        <w:szCs w:val="16"/>
      </w:rPr>
    </w:pPr>
    <w:r>
      <w:rPr>
        <w:sz w:val="16"/>
        <w:szCs w:val="16"/>
      </w:rPr>
      <w:t>&lt;#PROJECT.PROJECT_NAME&gt;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B6" w:rsidRDefault="00AB6BB6">
      <w:r>
        <w:separator/>
      </w:r>
    </w:p>
  </w:footnote>
  <w:footnote w:type="continuationSeparator" w:id="0">
    <w:p w:rsidR="00AB6BB6" w:rsidRDefault="00AB6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B7C"/>
    <w:multiLevelType w:val="hybridMultilevel"/>
    <w:tmpl w:val="A2CE42AE"/>
    <w:lvl w:ilvl="0" w:tplc="F782E262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4D0795"/>
    <w:multiLevelType w:val="multilevel"/>
    <w:tmpl w:val="29FE6C7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7557663F"/>
    <w:multiLevelType w:val="singleLevel"/>
    <w:tmpl w:val="22F466F2"/>
    <w:lvl w:ilvl="0">
      <w:start w:val="1"/>
      <w:numFmt w:val="decimal"/>
      <w:pStyle w:val="Bullet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64A8"/>
    <w:rsid w:val="000104C8"/>
    <w:rsid w:val="000170A6"/>
    <w:rsid w:val="000D3B00"/>
    <w:rsid w:val="000D7B2E"/>
    <w:rsid w:val="00143029"/>
    <w:rsid w:val="001C47E2"/>
    <w:rsid w:val="00204974"/>
    <w:rsid w:val="002815E2"/>
    <w:rsid w:val="002B276E"/>
    <w:rsid w:val="0031126E"/>
    <w:rsid w:val="003D33FF"/>
    <w:rsid w:val="00430557"/>
    <w:rsid w:val="00437B4A"/>
    <w:rsid w:val="00496063"/>
    <w:rsid w:val="004A1EF1"/>
    <w:rsid w:val="00505914"/>
    <w:rsid w:val="00523979"/>
    <w:rsid w:val="0055059C"/>
    <w:rsid w:val="005B10DF"/>
    <w:rsid w:val="005B4866"/>
    <w:rsid w:val="005E486D"/>
    <w:rsid w:val="005E78F7"/>
    <w:rsid w:val="006263B7"/>
    <w:rsid w:val="00635D17"/>
    <w:rsid w:val="006569BA"/>
    <w:rsid w:val="006770D5"/>
    <w:rsid w:val="00686D06"/>
    <w:rsid w:val="006B5438"/>
    <w:rsid w:val="006D4963"/>
    <w:rsid w:val="00713C2F"/>
    <w:rsid w:val="00743B1F"/>
    <w:rsid w:val="00784C1E"/>
    <w:rsid w:val="007C785C"/>
    <w:rsid w:val="00823B30"/>
    <w:rsid w:val="00932BF1"/>
    <w:rsid w:val="009F1F47"/>
    <w:rsid w:val="00A22D50"/>
    <w:rsid w:val="00AB6BB6"/>
    <w:rsid w:val="00AC21EF"/>
    <w:rsid w:val="00AC4157"/>
    <w:rsid w:val="00AE6CC7"/>
    <w:rsid w:val="00B42E8E"/>
    <w:rsid w:val="00B53009"/>
    <w:rsid w:val="00B54CF0"/>
    <w:rsid w:val="00B54D82"/>
    <w:rsid w:val="00B664A8"/>
    <w:rsid w:val="00BB1E04"/>
    <w:rsid w:val="00BD7E27"/>
    <w:rsid w:val="00C4351A"/>
    <w:rsid w:val="00C53753"/>
    <w:rsid w:val="00C5547E"/>
    <w:rsid w:val="00C57B34"/>
    <w:rsid w:val="00DA1333"/>
    <w:rsid w:val="00DC53C4"/>
    <w:rsid w:val="00DD5916"/>
    <w:rsid w:val="00E16B51"/>
    <w:rsid w:val="00E82F6F"/>
    <w:rsid w:val="00EF1D86"/>
    <w:rsid w:val="00F03A85"/>
    <w:rsid w:val="00F56E1D"/>
    <w:rsid w:val="00F87363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"/>
      </w:numPr>
      <w:spacing w:before="240" w:after="24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spacing w:before="12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426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426"/>
      </w:tabs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2552"/>
        <w:tab w:val="left" w:pos="4536"/>
      </w:tabs>
      <w:ind w:left="4536" w:hanging="4536"/>
    </w:p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uiPriority w:val="99"/>
    <w:pPr>
      <w:keepNext/>
      <w:tabs>
        <w:tab w:val="left" w:pos="567"/>
        <w:tab w:val="left" w:pos="1276"/>
      </w:tabs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Arial" w:hAnsi="Arial" w:cs="Arial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Bullet0">
    <w:name w:val="Bullet"/>
    <w:basedOn w:val="Normal"/>
    <w:uiPriority w:val="99"/>
    <w:pPr>
      <w:numPr>
        <w:numId w:val="1"/>
      </w:numPr>
      <w:spacing w:before="120"/>
    </w:pPr>
    <w:rPr>
      <w:b/>
      <w:bCs/>
    </w:rPr>
  </w:style>
  <w:style w:type="paragraph" w:customStyle="1" w:styleId="Body2">
    <w:name w:val="Body 2"/>
    <w:basedOn w:val="Normal"/>
    <w:uiPriority w:val="99"/>
    <w:pPr>
      <w:spacing w:after="240" w:line="360" w:lineRule="auto"/>
      <w:ind w:left="1418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440"/>
        <w:tab w:val="left" w:pos="567"/>
        <w:tab w:val="right" w:pos="8789"/>
      </w:tabs>
      <w:spacing w:before="120"/>
      <w:jc w:val="left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709"/>
        <w:tab w:val="right" w:pos="8789"/>
      </w:tabs>
      <w:spacing w:after="0"/>
      <w:jc w:val="left"/>
    </w:pPr>
    <w:rPr>
      <w:noProof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lang w:eastAsia="en-US"/>
    </w:rPr>
  </w:style>
  <w:style w:type="paragraph" w:customStyle="1" w:styleId="bullet">
    <w:name w:val="bullet"/>
    <w:basedOn w:val="Normal"/>
    <w:rsid w:val="00F56E1D"/>
    <w:pPr>
      <w:keepNext/>
      <w:numPr>
        <w:numId w:val="3"/>
      </w:numPr>
      <w:spacing w:line="240" w:lineRule="exac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442</Words>
  <Characters>2524</Characters>
  <Application>Microsoft Office Word</Application>
  <DocSecurity>0</DocSecurity>
  <Lines>21</Lines>
  <Paragraphs>5</Paragraphs>
  <ScaleCrop>false</ScaleCrop>
  <Company>DAIS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CONDITIONS OF TENDERING</dc:title>
  <dc:creator>.</dc:creator>
  <cp:lastModifiedBy>DPTI</cp:lastModifiedBy>
  <cp:revision>2</cp:revision>
  <cp:lastPrinted>2002-09-24T08:57:00Z</cp:lastPrinted>
  <dcterms:created xsi:type="dcterms:W3CDTF">2015-08-31T06:11:00Z</dcterms:created>
  <dcterms:modified xsi:type="dcterms:W3CDTF">2015-08-31T06:11:00Z</dcterms:modified>
</cp:coreProperties>
</file>