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F0" w:rsidRDefault="00DD358B">
      <w:pPr>
        <w:keepNext/>
        <w:jc w:val="right"/>
      </w:pPr>
      <w:r>
        <w:rPr>
          <w:noProof/>
          <w:lang w:eastAsia="en-AU"/>
        </w:rPr>
        <w:drawing>
          <wp:inline distT="0" distB="0" distL="0" distR="0">
            <wp:extent cx="2238375" cy="7048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CF0" w:rsidRDefault="00B54CF0">
      <w:pPr>
        <w:keepNext/>
        <w:rPr>
          <w:b/>
          <w:bCs/>
        </w:rPr>
      </w:pPr>
    </w:p>
    <w:p w:rsidR="00B54CF0" w:rsidRDefault="00B54CF0">
      <w:pPr>
        <w:keepNext/>
        <w:rPr>
          <w:b/>
          <w:bCs/>
        </w:rPr>
      </w:pPr>
    </w:p>
    <w:p w:rsidR="00B54CF0" w:rsidRDefault="00B54CF0">
      <w:pPr>
        <w:keepNext/>
        <w:rPr>
          <w:b/>
          <w:bCs/>
        </w:rPr>
      </w:pPr>
    </w:p>
    <w:p w:rsidR="00B54CF0" w:rsidRDefault="00B54CF0">
      <w:pPr>
        <w:keepNext/>
        <w:rPr>
          <w:b/>
          <w:bCs/>
        </w:rPr>
      </w:pPr>
    </w:p>
    <w:p w:rsidR="00B54CF0" w:rsidRDefault="00B54CF0">
      <w:pPr>
        <w:keepNext/>
        <w:rPr>
          <w:b/>
          <w:bCs/>
        </w:rPr>
      </w:pPr>
    </w:p>
    <w:p w:rsidR="00B54CF0" w:rsidRDefault="00B54CF0">
      <w:pPr>
        <w:keepNext/>
        <w:rPr>
          <w:b/>
          <w:bCs/>
        </w:rPr>
      </w:pPr>
    </w:p>
    <w:p w:rsidR="00B54CF0" w:rsidRDefault="00B54CF0">
      <w:pPr>
        <w:keepNext/>
        <w:rPr>
          <w:b/>
          <w:bCs/>
        </w:rPr>
      </w:pPr>
    </w:p>
    <w:p w:rsidR="00B54CF0" w:rsidRDefault="00B54CF0">
      <w:pPr>
        <w:keepNext/>
        <w:rPr>
          <w:b/>
          <w:bCs/>
        </w:rPr>
      </w:pPr>
    </w:p>
    <w:p w:rsidR="00B54CF0" w:rsidRDefault="00B54CF0">
      <w:pPr>
        <w:keepNext/>
        <w:rPr>
          <w:b/>
          <w:bCs/>
        </w:rPr>
      </w:pPr>
    </w:p>
    <w:p w:rsidR="00B54CF0" w:rsidRDefault="00B54CF0">
      <w:pPr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&lt;#GBC_CONTRACT.CONTRACT_NAME&gt;</w:t>
      </w:r>
    </w:p>
    <w:p w:rsidR="00B54CF0" w:rsidRDefault="00B54CF0">
      <w:pPr>
        <w:tabs>
          <w:tab w:val="left" w:pos="567"/>
        </w:tabs>
        <w:ind w:left="720" w:hanging="720"/>
        <w:rPr>
          <w:b/>
          <w:bCs/>
        </w:rPr>
      </w:pPr>
    </w:p>
    <w:p w:rsidR="00B54CF0" w:rsidRDefault="00B54CF0">
      <w:pPr>
        <w:keepNext/>
      </w:pPr>
    </w:p>
    <w:p w:rsidR="00B54CF0" w:rsidRDefault="00B54CF0">
      <w:pPr>
        <w:keepNext/>
      </w:pPr>
    </w:p>
    <w:p w:rsidR="00B54CF0" w:rsidRDefault="00B54CF0">
      <w:pPr>
        <w:keepNext/>
      </w:pPr>
    </w:p>
    <w:p w:rsidR="00B54CF0" w:rsidRDefault="00B54CF0">
      <w:pPr>
        <w:keepNext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CONTRACT</w:t>
      </w:r>
    </w:p>
    <w:p w:rsidR="00B54CF0" w:rsidRDefault="00B54CF0">
      <w:pPr>
        <w:pStyle w:val="Header"/>
        <w:keepNext/>
        <w:tabs>
          <w:tab w:val="clear" w:pos="4320"/>
          <w:tab w:val="clear" w:pos="8640"/>
        </w:tabs>
      </w:pPr>
    </w:p>
    <w:p w:rsidR="00B54CF0" w:rsidRDefault="00B54CF0">
      <w:pPr>
        <w:keepNext/>
        <w:tabs>
          <w:tab w:val="left" w:pos="3261"/>
        </w:tabs>
        <w:rPr>
          <w:rFonts w:eastAsia="Arial Unicode M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CONTRACT NO:</w:t>
      </w:r>
      <w:r>
        <w:rPr>
          <w:sz w:val="28"/>
          <w:szCs w:val="28"/>
        </w:rPr>
        <w:tab/>
      </w:r>
      <w:r>
        <w:rPr>
          <w:b/>
          <w:bCs/>
          <w:caps/>
          <w:sz w:val="28"/>
          <w:szCs w:val="28"/>
        </w:rPr>
        <w:t>&lt;#GBC_TENDER.CONTRACT_NO&gt;</w:t>
      </w:r>
    </w:p>
    <w:p w:rsidR="00B54CF0" w:rsidRDefault="00B54CF0">
      <w:pPr>
        <w:keepNext/>
        <w:tabs>
          <w:tab w:val="left" w:pos="3261"/>
        </w:tabs>
        <w:rPr>
          <w:sz w:val="28"/>
          <w:szCs w:val="28"/>
        </w:rPr>
      </w:pPr>
    </w:p>
    <w:p w:rsidR="00B54CF0" w:rsidRDefault="00B54CF0">
      <w:pPr>
        <w:keepNext/>
        <w:tabs>
          <w:tab w:val="left" w:pos="326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CONTRACT VOLUME:</w:t>
      </w:r>
      <w:r>
        <w:rPr>
          <w:b/>
          <w:bCs/>
          <w:sz w:val="28"/>
          <w:szCs w:val="28"/>
        </w:rPr>
        <w:tab/>
        <w:t>1</w:t>
      </w:r>
    </w:p>
    <w:p w:rsidR="00B54CF0" w:rsidRDefault="00B54CF0">
      <w:pPr>
        <w:keepNext/>
        <w:rPr>
          <w:b/>
          <w:bCs/>
        </w:rPr>
      </w:pPr>
    </w:p>
    <w:p w:rsidR="00B54CF0" w:rsidRDefault="00B54CF0">
      <w:pPr>
        <w:pStyle w:val="Header"/>
        <w:keepNext/>
      </w:pPr>
    </w:p>
    <w:p w:rsidR="00B54CF0" w:rsidRDefault="00B54CF0">
      <w:pPr>
        <w:keepNext/>
        <w:rPr>
          <w:b/>
          <w:bCs/>
          <w:sz w:val="24"/>
          <w:szCs w:val="24"/>
        </w:rPr>
        <w:sectPr w:rsidR="00B54CF0">
          <w:pgSz w:w="11906" w:h="16838" w:code="9"/>
          <w:pgMar w:top="1418" w:right="1418" w:bottom="1418" w:left="1418" w:header="720" w:footer="720" w:gutter="0"/>
          <w:cols w:space="720"/>
          <w:titlePg/>
        </w:sectPr>
      </w:pPr>
    </w:p>
    <w:p w:rsidR="00B54CF0" w:rsidRDefault="00B54CF0">
      <w:pPr>
        <w:keepNext/>
        <w:rPr>
          <w:b/>
          <w:bCs/>
        </w:rPr>
      </w:pPr>
      <w:r>
        <w:rPr>
          <w:b/>
          <w:bCs/>
        </w:rPr>
        <w:lastRenderedPageBreak/>
        <w:t>CONTRACT DOCUMENTS</w:t>
      </w:r>
    </w:p>
    <w:p w:rsidR="002815E2" w:rsidRDefault="002815E2" w:rsidP="002815E2">
      <w:pPr>
        <w:pStyle w:val="Header"/>
        <w:keepNext/>
        <w:tabs>
          <w:tab w:val="clear" w:pos="4320"/>
          <w:tab w:val="clear" w:pos="8640"/>
        </w:tabs>
        <w:spacing w:before="120"/>
        <w:rPr>
          <w:b/>
          <w:bCs/>
          <w:u w:val="single"/>
        </w:rPr>
      </w:pPr>
      <w:r>
        <w:rPr>
          <w:b/>
          <w:bCs/>
          <w:u w:val="single"/>
        </w:rPr>
        <w:t>Bound into this document:</w:t>
      </w:r>
    </w:p>
    <w:p w:rsidR="00B54CF0" w:rsidRDefault="00B54CF0">
      <w:pPr>
        <w:pStyle w:val="Heading4"/>
        <w:spacing w:before="120"/>
      </w:pPr>
      <w:r>
        <w:t>Contract Volume 1:  Contract</w:t>
      </w:r>
    </w:p>
    <w:p w:rsidR="00B54CF0" w:rsidRDefault="00B54CF0">
      <w:pPr>
        <w:keepNext/>
        <w:ind w:left="567"/>
      </w:pPr>
      <w:r>
        <w:t>Frontispiece</w:t>
      </w:r>
    </w:p>
    <w:p w:rsidR="00B54CF0" w:rsidRDefault="00B54CF0">
      <w:pPr>
        <w:keepNext/>
        <w:ind w:left="567"/>
      </w:pPr>
      <w:r>
        <w:t>Formal Instrument of Agreement</w:t>
      </w:r>
    </w:p>
    <w:p w:rsidR="00B54CF0" w:rsidRDefault="00B54CF0">
      <w:pPr>
        <w:keepNext/>
        <w:ind w:left="567"/>
      </w:pPr>
      <w:r>
        <w:t>Recital and Preamble</w:t>
      </w:r>
    </w:p>
    <w:p w:rsidR="00B54CF0" w:rsidRDefault="000170A6">
      <w:pPr>
        <w:keepNext/>
        <w:ind w:left="567"/>
      </w:pPr>
      <w:r>
        <w:t xml:space="preserve">Letter of </w:t>
      </w:r>
      <w:r w:rsidR="00B54CF0">
        <w:t xml:space="preserve">Acceptance </w:t>
      </w:r>
      <w:r>
        <w:t>o</w:t>
      </w:r>
      <w:r w:rsidR="00B54CF0">
        <w:t>f T</w:t>
      </w:r>
      <w:r>
        <w:t>ender</w:t>
      </w:r>
    </w:p>
    <w:p w:rsidR="00B54CF0" w:rsidRDefault="00B54CF0">
      <w:pPr>
        <w:keepNext/>
        <w:ind w:left="567"/>
      </w:pPr>
      <w:r>
        <w:t>Superintendent’s administration letter</w:t>
      </w:r>
      <w:r w:rsidR="000170A6" w:rsidRPr="000170A6">
        <w:t xml:space="preserve"> </w:t>
      </w:r>
      <w:r w:rsidR="000170A6">
        <w:t xml:space="preserve">and </w:t>
      </w:r>
      <w:r>
        <w:t>a</w:t>
      </w:r>
      <w:r w:rsidR="000170A6">
        <w:t>ttachments</w:t>
      </w:r>
    </w:p>
    <w:p w:rsidR="000170A6" w:rsidRDefault="000170A6" w:rsidP="000170A6">
      <w:pPr>
        <w:keepNext/>
        <w:ind w:left="567"/>
      </w:pPr>
      <w:r>
        <w:t>Post tender correspondence</w:t>
      </w:r>
    </w:p>
    <w:p w:rsidR="000170A6" w:rsidRDefault="000170A6" w:rsidP="000170A6">
      <w:pPr>
        <w:keepNext/>
        <w:ind w:left="567"/>
      </w:pPr>
      <w:r>
        <w:t>Contractor’s tender</w:t>
      </w:r>
      <w:r w:rsidR="00DC53C4">
        <w:t xml:space="preserve"> </w:t>
      </w:r>
      <w:r w:rsidR="00DC53C4" w:rsidRPr="00B53009">
        <w:rPr>
          <w:color w:val="FF0000"/>
        </w:rPr>
        <w:t>(revised)</w:t>
      </w:r>
    </w:p>
    <w:p w:rsidR="00DC53C4" w:rsidRDefault="00DC53C4" w:rsidP="00DC53C4">
      <w:pPr>
        <w:pStyle w:val="Header"/>
        <w:keepNext/>
        <w:tabs>
          <w:tab w:val="clear" w:pos="4320"/>
          <w:tab w:val="clear" w:pos="8640"/>
        </w:tabs>
        <w:ind w:left="567"/>
        <w:rPr>
          <w:color w:val="FF0000"/>
        </w:rPr>
      </w:pPr>
      <w:r>
        <w:rPr>
          <w:color w:val="FF0000"/>
        </w:rPr>
        <w:t>Addenda</w:t>
      </w:r>
    </w:p>
    <w:p w:rsidR="00B27E9A" w:rsidRPr="00B27E9A" w:rsidRDefault="00B27E9A" w:rsidP="00B27E9A">
      <w:pPr>
        <w:keepNext/>
        <w:ind w:left="567"/>
        <w:rPr>
          <w:color w:val="FF0000"/>
        </w:rPr>
      </w:pPr>
      <w:r w:rsidRPr="00B27E9A">
        <w:rPr>
          <w:color w:val="FF0000"/>
        </w:rPr>
        <w:t>South Australian Industry Participation Policy (Standard) Plan</w:t>
      </w:r>
    </w:p>
    <w:p w:rsidR="00B27E9A" w:rsidRPr="00B42E8E" w:rsidRDefault="00B27E9A" w:rsidP="00B27E9A">
      <w:pPr>
        <w:keepNext/>
        <w:ind w:left="567"/>
        <w:rPr>
          <w:b/>
          <w:color w:val="FF0000"/>
        </w:rPr>
      </w:pPr>
      <w:r w:rsidRPr="00B27E9A">
        <w:rPr>
          <w:color w:val="FF0000"/>
        </w:rPr>
        <w:t>South Australian Industry Participation Policy (Standard) Report Template</w:t>
      </w:r>
    </w:p>
    <w:p w:rsidR="00B54CF0" w:rsidRDefault="00E911DF">
      <w:pPr>
        <w:keepNext/>
        <w:ind w:left="567"/>
      </w:pPr>
      <w:r w:rsidRPr="00AC53F7">
        <w:t>MDW-12 Conditions of Contract for Medium Works</w:t>
      </w:r>
    </w:p>
    <w:p w:rsidR="00B54CF0" w:rsidRDefault="00E911DF">
      <w:pPr>
        <w:pStyle w:val="Header"/>
        <w:keepNext/>
        <w:tabs>
          <w:tab w:val="clear" w:pos="4320"/>
          <w:tab w:val="clear" w:pos="8640"/>
        </w:tabs>
        <w:ind w:left="567"/>
      </w:pPr>
      <w:bookmarkStart w:id="0" w:name="_Toc351970868"/>
      <w:r w:rsidRPr="00962FBA">
        <w:t xml:space="preserve">Annexure to </w:t>
      </w:r>
      <w:r>
        <w:t>MDW-12</w:t>
      </w:r>
      <w:r w:rsidRPr="00962FBA">
        <w:t xml:space="preserve"> Conditions of Contract for Medium Works</w:t>
      </w:r>
      <w:bookmarkEnd w:id="0"/>
    </w:p>
    <w:p w:rsidR="002815E2" w:rsidRDefault="002815E2" w:rsidP="002815E2">
      <w:pPr>
        <w:pStyle w:val="Heading4"/>
        <w:spacing w:before="120"/>
      </w:pPr>
      <w:r>
        <w:t>Contract Volume 2:  Specification</w:t>
      </w:r>
    </w:p>
    <w:p w:rsidR="00B54CF0" w:rsidRDefault="00B54CF0">
      <w:pPr>
        <w:pStyle w:val="Heading4"/>
        <w:spacing w:before="120"/>
        <w:rPr>
          <w:u w:val="single"/>
        </w:rPr>
      </w:pPr>
      <w:r>
        <w:rPr>
          <w:u w:val="single"/>
        </w:rPr>
        <w:t>Separate documents:</w:t>
      </w:r>
    </w:p>
    <w:p w:rsidR="00F03A85" w:rsidRDefault="00F03A85" w:rsidP="00F03A85">
      <w:pPr>
        <w:keepNext/>
        <w:tabs>
          <w:tab w:val="left" w:pos="1418"/>
        </w:tabs>
        <w:spacing w:before="120"/>
        <w:ind w:left="567"/>
      </w:pPr>
      <w:r>
        <w:t>Drawings</w:t>
      </w:r>
    </w:p>
    <w:p w:rsidR="00523979" w:rsidRPr="00523979" w:rsidRDefault="00523979" w:rsidP="00523979">
      <w:pPr>
        <w:keepNext/>
        <w:ind w:left="567"/>
      </w:pPr>
      <w:r w:rsidRPr="00523979">
        <w:t>Code of Practice for the South Australian Construction Industry</w:t>
      </w:r>
    </w:p>
    <w:p w:rsidR="00523979" w:rsidRDefault="00523979" w:rsidP="00523979">
      <w:pPr>
        <w:keepNext/>
        <w:ind w:left="567"/>
      </w:pPr>
    </w:p>
    <w:p w:rsidR="00B54CF0" w:rsidRDefault="00B54CF0">
      <w:pPr>
        <w:pStyle w:val="Heading4"/>
        <w:spacing w:before="120"/>
      </w:pPr>
      <w:r>
        <w:t>INFORMATION DOCUMENTS</w:t>
      </w:r>
    </w:p>
    <w:p w:rsidR="00B54CF0" w:rsidRDefault="00B54CF0">
      <w:pPr>
        <w:pStyle w:val="Header"/>
        <w:keepNext/>
        <w:tabs>
          <w:tab w:val="clear" w:pos="4320"/>
          <w:tab w:val="clear" w:pos="8640"/>
        </w:tabs>
        <w:spacing w:before="120"/>
        <w:rPr>
          <w:b/>
          <w:bCs/>
          <w:u w:val="single"/>
        </w:rPr>
      </w:pPr>
      <w:r>
        <w:rPr>
          <w:b/>
          <w:bCs/>
          <w:u w:val="single"/>
        </w:rPr>
        <w:t>Bound into this document:</w:t>
      </w:r>
    </w:p>
    <w:p w:rsidR="00B54CF0" w:rsidRDefault="00B54CF0" w:rsidP="00F03A85">
      <w:pPr>
        <w:pStyle w:val="Header"/>
        <w:keepNext/>
        <w:ind w:left="567"/>
        <w:rPr>
          <w:color w:val="FF0000"/>
        </w:rPr>
      </w:pPr>
      <w:r>
        <w:rPr>
          <w:color w:val="FF0000"/>
        </w:rPr>
        <w:t>Other documents included with tender documents</w:t>
      </w:r>
    </w:p>
    <w:p w:rsidR="00B54CF0" w:rsidRDefault="00B54CF0">
      <w:pPr>
        <w:pStyle w:val="Heading4"/>
        <w:spacing w:before="120"/>
        <w:rPr>
          <w:u w:val="single"/>
        </w:rPr>
      </w:pPr>
      <w:r>
        <w:rPr>
          <w:u w:val="single"/>
        </w:rPr>
        <w:t>Separate documents:</w:t>
      </w:r>
    </w:p>
    <w:p w:rsidR="00B54CF0" w:rsidRDefault="00B54CF0" w:rsidP="00F03A85">
      <w:pPr>
        <w:pStyle w:val="Header"/>
        <w:keepNext/>
        <w:spacing w:before="120"/>
        <w:ind w:left="567"/>
        <w:rPr>
          <w:color w:val="FF0000"/>
        </w:rPr>
      </w:pPr>
      <w:r>
        <w:rPr>
          <w:color w:val="FF0000"/>
        </w:rPr>
        <w:t>Hazardous Materials inspection report, management plan and register</w:t>
      </w:r>
    </w:p>
    <w:p w:rsidR="00B54CF0" w:rsidRDefault="00B54CF0" w:rsidP="00F03A85">
      <w:pPr>
        <w:pStyle w:val="Header"/>
        <w:keepNext/>
        <w:ind w:left="567"/>
        <w:rPr>
          <w:color w:val="FF0000"/>
        </w:rPr>
      </w:pPr>
      <w:r>
        <w:rPr>
          <w:color w:val="FF0000"/>
        </w:rPr>
        <w:t>Other documents included with tender documents</w:t>
      </w:r>
    </w:p>
    <w:p w:rsidR="00B54CF0" w:rsidRDefault="00B54CF0">
      <w:pPr>
        <w:keepNext/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t xml:space="preserve">CONTRACT </w:t>
      </w:r>
    </w:p>
    <w:p w:rsidR="00B54CF0" w:rsidRDefault="00B54CF0">
      <w:pPr>
        <w:keepNext/>
        <w:rPr>
          <w:b/>
          <w:bCs/>
          <w:u w:val="single"/>
        </w:rPr>
      </w:pPr>
    </w:p>
    <w:p w:rsidR="00B54CF0" w:rsidRDefault="00B54CF0">
      <w:pPr>
        <w:keepNext/>
        <w:rPr>
          <w:b/>
          <w:bCs/>
          <w:u w:val="single"/>
        </w:rPr>
      </w:pPr>
    </w:p>
    <w:p w:rsidR="00B54CF0" w:rsidRDefault="00B54CF0">
      <w:pPr>
        <w:keepNext/>
        <w:rPr>
          <w:b/>
          <w:bCs/>
        </w:rPr>
      </w:pPr>
      <w:r>
        <w:rPr>
          <w:b/>
          <w:bCs/>
          <w:u w:val="single"/>
        </w:rPr>
        <w:t>BETWEEN</w:t>
      </w:r>
      <w:r>
        <w:rPr>
          <w:b/>
          <w:bCs/>
        </w:rPr>
        <w:t>:</w:t>
      </w:r>
    </w:p>
    <w:p w:rsidR="00B54CF0" w:rsidRDefault="00B54CF0">
      <w:pPr>
        <w:keepNext/>
        <w:rPr>
          <w:b/>
          <w:bCs/>
        </w:rPr>
      </w:pPr>
    </w:p>
    <w:p w:rsidR="00B54CF0" w:rsidRDefault="00B54CF0">
      <w:pPr>
        <w:keepNext/>
        <w:rPr>
          <w:b/>
          <w:bCs/>
        </w:rPr>
      </w:pPr>
    </w:p>
    <w:p w:rsidR="00B54CF0" w:rsidRDefault="00B54CF0">
      <w:pPr>
        <w:keepNext/>
        <w:rPr>
          <w:b/>
          <w:bCs/>
        </w:rPr>
      </w:pPr>
    </w:p>
    <w:p w:rsidR="00B54CF0" w:rsidRDefault="00B54CF0">
      <w:pPr>
        <w:keepNext/>
        <w:rPr>
          <w:b/>
          <w:bCs/>
        </w:rPr>
      </w:pPr>
    </w:p>
    <w:p w:rsidR="00B54CF0" w:rsidRDefault="00B54CF0">
      <w:pPr>
        <w:keepNext/>
        <w:rPr>
          <w:b/>
          <w:bCs/>
        </w:rPr>
      </w:pPr>
    </w:p>
    <w:p w:rsidR="00B54CF0" w:rsidRDefault="00B54CF0">
      <w:pPr>
        <w:keepNext/>
        <w:rPr>
          <w:b/>
          <w:bCs/>
        </w:rPr>
      </w:pPr>
    </w:p>
    <w:p w:rsidR="00B54CF0" w:rsidRDefault="00B54CF0">
      <w:pPr>
        <w:keepNext/>
        <w:rPr>
          <w:b/>
          <w:bCs/>
        </w:rPr>
      </w:pPr>
    </w:p>
    <w:p w:rsidR="00B54CF0" w:rsidRDefault="00B54CF0">
      <w:pPr>
        <w:keepNext/>
        <w:rPr>
          <w:b/>
          <w:bCs/>
        </w:rPr>
      </w:pPr>
    </w:p>
    <w:p w:rsidR="00B54CF0" w:rsidRDefault="00B54CF0">
      <w:pPr>
        <w:rPr>
          <w:rFonts w:eastAsia="Arial Unicode MS"/>
          <w:b/>
          <w:bCs/>
          <w:caps/>
          <w:u w:val="single"/>
        </w:rPr>
      </w:pPr>
      <w:r>
        <w:rPr>
          <w:b/>
          <w:bCs/>
          <w:caps/>
          <w:u w:val="single"/>
        </w:rPr>
        <w:t xml:space="preserve">MINISTER FOR </w:t>
      </w:r>
      <w:r w:rsidR="007C785C">
        <w:rPr>
          <w:b/>
          <w:bCs/>
          <w:caps/>
          <w:u w:val="single"/>
        </w:rPr>
        <w:t xml:space="preserve">TRANSPORT AND </w:t>
      </w:r>
      <w:r>
        <w:rPr>
          <w:b/>
          <w:bCs/>
          <w:caps/>
          <w:u w:val="single"/>
        </w:rPr>
        <w:t>INFRASTRUCTURE</w:t>
      </w:r>
    </w:p>
    <w:p w:rsidR="00B54CF0" w:rsidRDefault="00B54CF0">
      <w:pPr>
        <w:pStyle w:val="Heading4"/>
        <w:spacing w:before="120"/>
      </w:pPr>
      <w:r>
        <w:t>(“the Principal”)</w:t>
      </w:r>
    </w:p>
    <w:p w:rsidR="00B54CF0" w:rsidRDefault="00B54CF0">
      <w:pPr>
        <w:keepNext/>
        <w:rPr>
          <w:b/>
          <w:bCs/>
        </w:rPr>
      </w:pPr>
    </w:p>
    <w:p w:rsidR="00B54CF0" w:rsidRDefault="00B54CF0">
      <w:pPr>
        <w:keepNext/>
        <w:rPr>
          <w:b/>
          <w:bCs/>
        </w:rPr>
      </w:pPr>
    </w:p>
    <w:p w:rsidR="00B54CF0" w:rsidRDefault="00B54CF0">
      <w:pPr>
        <w:keepNext/>
        <w:rPr>
          <w:b/>
          <w:bCs/>
        </w:rPr>
      </w:pPr>
    </w:p>
    <w:p w:rsidR="00B54CF0" w:rsidRDefault="00B54CF0">
      <w:pPr>
        <w:keepNext/>
        <w:rPr>
          <w:b/>
          <w:bCs/>
        </w:rPr>
      </w:pPr>
    </w:p>
    <w:p w:rsidR="00B54CF0" w:rsidRDefault="00B54CF0">
      <w:pPr>
        <w:keepNext/>
        <w:rPr>
          <w:b/>
          <w:bCs/>
          <w:u w:val="single"/>
        </w:rPr>
      </w:pPr>
      <w:r>
        <w:rPr>
          <w:b/>
          <w:bCs/>
          <w:u w:val="single"/>
        </w:rPr>
        <w:t>AND</w:t>
      </w:r>
    </w:p>
    <w:p w:rsidR="00B54CF0" w:rsidRDefault="00B54CF0">
      <w:pPr>
        <w:keepNext/>
        <w:rPr>
          <w:b/>
          <w:bCs/>
        </w:rPr>
      </w:pPr>
    </w:p>
    <w:p w:rsidR="00B54CF0" w:rsidRDefault="00B54CF0">
      <w:pPr>
        <w:keepNext/>
        <w:rPr>
          <w:b/>
          <w:bCs/>
        </w:rPr>
      </w:pPr>
    </w:p>
    <w:p w:rsidR="00B54CF0" w:rsidRDefault="00B54CF0">
      <w:pPr>
        <w:keepNext/>
        <w:rPr>
          <w:b/>
          <w:bCs/>
        </w:rPr>
      </w:pPr>
    </w:p>
    <w:p w:rsidR="00B54CF0" w:rsidRDefault="00B54CF0">
      <w:pPr>
        <w:keepNext/>
        <w:rPr>
          <w:b/>
          <w:bCs/>
        </w:rPr>
      </w:pPr>
    </w:p>
    <w:p w:rsidR="00B54CF0" w:rsidRDefault="00B54CF0">
      <w:pPr>
        <w:rPr>
          <w:rFonts w:eastAsia="Arial Unicode MS"/>
          <w:b/>
          <w:bCs/>
          <w:caps/>
          <w:u w:val="single"/>
        </w:rPr>
      </w:pPr>
      <w:r>
        <w:rPr>
          <w:b/>
          <w:bCs/>
          <w:caps/>
          <w:u w:val="single"/>
        </w:rPr>
        <w:t>&lt;#GBC_TENDER.AWARDED&gt;</w:t>
      </w:r>
    </w:p>
    <w:p w:rsidR="00B54CF0" w:rsidRDefault="00B54CF0">
      <w:pPr>
        <w:pStyle w:val="Heading4"/>
        <w:spacing w:before="120"/>
      </w:pPr>
      <w:r>
        <w:t>(“the Contractor”)</w:t>
      </w:r>
    </w:p>
    <w:p w:rsidR="00B54CF0" w:rsidRDefault="00B54CF0">
      <w:pPr>
        <w:pStyle w:val="Heading4"/>
        <w:spacing w:before="120"/>
      </w:pPr>
      <w:r>
        <w:rPr>
          <w:b w:val="0"/>
          <w:bCs w:val="0"/>
        </w:rPr>
        <w:br w:type="page"/>
      </w:r>
      <w:r>
        <w:t>FORMAL INSTRUMENT OF AGREEMENT</w:t>
      </w:r>
    </w:p>
    <w:p w:rsidR="00B54CF0" w:rsidRDefault="00B54CF0">
      <w:pPr>
        <w:keepNext/>
      </w:pPr>
    </w:p>
    <w:p w:rsidR="00B54CF0" w:rsidRDefault="00B54CF0">
      <w:pPr>
        <w:keepNext/>
      </w:pPr>
      <w:r>
        <w:rPr>
          <w:u w:val="single"/>
        </w:rPr>
        <w:t>AGREEMENT</w:t>
      </w:r>
      <w:r>
        <w:t xml:space="preserve"> made  </w:t>
      </w:r>
      <w:r>
        <w:rPr>
          <w:color w:val="FF0000"/>
        </w:rPr>
        <w:t>date</w:t>
      </w:r>
      <w:r>
        <w:t xml:space="preserve">  </w:t>
      </w:r>
      <w:r>
        <w:rPr>
          <w:color w:val="000000"/>
        </w:rPr>
        <w:t xml:space="preserve">day of </w:t>
      </w:r>
      <w:r>
        <w:rPr>
          <w:color w:val="FF0000"/>
        </w:rPr>
        <w:t>Month</w:t>
      </w:r>
      <w:r>
        <w:t xml:space="preserve"> </w:t>
      </w:r>
      <w:r>
        <w:rPr>
          <w:color w:val="FF0000"/>
        </w:rPr>
        <w:t>2010</w:t>
      </w:r>
    </w:p>
    <w:p w:rsidR="00B54CF0" w:rsidRDefault="00B54CF0">
      <w:pPr>
        <w:keepNext/>
      </w:pPr>
    </w:p>
    <w:p w:rsidR="00B54CF0" w:rsidRDefault="00B54CF0">
      <w:pPr>
        <w:keepNext/>
      </w:pPr>
      <w:r>
        <w:rPr>
          <w:u w:val="single"/>
        </w:rPr>
        <w:t>BETWEEN</w:t>
      </w:r>
      <w:r>
        <w:t>:</w:t>
      </w:r>
    </w:p>
    <w:p w:rsidR="00B54CF0" w:rsidRDefault="00B54CF0">
      <w:pPr>
        <w:keepNext/>
      </w:pPr>
    </w:p>
    <w:p w:rsidR="00B54CF0" w:rsidRDefault="00B54CF0">
      <w:pPr>
        <w:widowControl w:val="0"/>
        <w:rPr>
          <w:rFonts w:eastAsia="Arial Unicode MS"/>
          <w:sz w:val="16"/>
          <w:szCs w:val="16"/>
        </w:rPr>
      </w:pPr>
      <w:r>
        <w:t xml:space="preserve">The MINISTER FOR </w:t>
      </w:r>
      <w:r w:rsidR="007C785C">
        <w:t xml:space="preserve">TRANSPORT AND </w:t>
      </w:r>
      <w:r>
        <w:t xml:space="preserve">INFRASTRUCTURE (‘the Principal’) a body corporate pursuant to the Administrative Arrangements Act, 1994 whose office is situated at Level </w:t>
      </w:r>
      <w:r w:rsidR="00E13F83">
        <w:t>12</w:t>
      </w:r>
      <w:r>
        <w:t xml:space="preserve"> </w:t>
      </w:r>
      <w:r w:rsidR="00E13F83">
        <w:t>Roma Mitchell House</w:t>
      </w:r>
      <w:r>
        <w:t xml:space="preserve">, </w:t>
      </w:r>
      <w:r w:rsidR="00E13F83">
        <w:t>136</w:t>
      </w:r>
      <w:r>
        <w:t xml:space="preserve"> North Terrace, ADELAIDE SA 5000</w:t>
      </w:r>
      <w:r>
        <w:rPr>
          <w:sz w:val="16"/>
          <w:szCs w:val="16"/>
        </w:rPr>
        <w:t>.</w:t>
      </w:r>
    </w:p>
    <w:p w:rsidR="00B54CF0" w:rsidRDefault="00B54CF0">
      <w:pPr>
        <w:widowControl w:val="0"/>
      </w:pPr>
    </w:p>
    <w:p w:rsidR="00B54CF0" w:rsidRDefault="00B54CF0">
      <w:pPr>
        <w:widowControl w:val="0"/>
      </w:pPr>
      <w:r>
        <w:rPr>
          <w:u w:val="single"/>
        </w:rPr>
        <w:t>AND</w:t>
      </w:r>
      <w:r>
        <w:t>:</w:t>
      </w:r>
    </w:p>
    <w:p w:rsidR="00B54CF0" w:rsidRDefault="00B54CF0">
      <w:pPr>
        <w:widowControl w:val="0"/>
      </w:pPr>
    </w:p>
    <w:p w:rsidR="00B54CF0" w:rsidRDefault="00B54CF0">
      <w:pPr>
        <w:widowControl w:val="0"/>
      </w:pPr>
      <w:r>
        <w:rPr>
          <w:u w:val="single"/>
        </w:rPr>
        <w:t>&lt;#GBC_TENDER.AWARDED&gt;</w:t>
      </w:r>
      <w:r>
        <w:rPr>
          <w:color w:val="000000"/>
        </w:rPr>
        <w:t xml:space="preserve"> (ACN </w:t>
      </w:r>
      <w:r>
        <w:rPr>
          <w:color w:val="FF0000"/>
        </w:rPr>
        <w:t>number</w:t>
      </w:r>
      <w:r>
        <w:rPr>
          <w:color w:val="000000"/>
        </w:rPr>
        <w:t xml:space="preserve">) </w:t>
      </w:r>
      <w:r>
        <w:t>(‘the Contractor’)</w:t>
      </w:r>
    </w:p>
    <w:p w:rsidR="00B54CF0" w:rsidRDefault="00B54CF0">
      <w:pPr>
        <w:pStyle w:val="Header"/>
        <w:widowControl w:val="0"/>
        <w:tabs>
          <w:tab w:val="clear" w:pos="4320"/>
          <w:tab w:val="clear" w:pos="8640"/>
        </w:tabs>
      </w:pPr>
    </w:p>
    <w:p w:rsidR="00B54CF0" w:rsidRDefault="00B54CF0">
      <w:r>
        <w:rPr>
          <w:u w:val="single"/>
        </w:rPr>
        <w:t>IT IS AGREED</w:t>
      </w:r>
      <w:r>
        <w:t xml:space="preserve"> that the Tender, Acceptance of Tender, General Conditions of Contract, Specification, Drawings and other documents to which reference may properly be made in relation to &lt;#PROJECT.PROJECT_NAME&gt;, &lt;#GBC_TENDER.CONTRACT_NO&gt;</w:t>
      </w:r>
      <w:r>
        <w:rPr>
          <w:color w:val="000000"/>
        </w:rPr>
        <w:t xml:space="preserve">, at the lump sum of </w:t>
      </w:r>
      <w:r>
        <w:rPr>
          <w:vanish/>
          <w:color w:val="FF0000"/>
        </w:rPr>
        <w:t>in words</w:t>
      </w:r>
      <w:r>
        <w:rPr>
          <w:vanish/>
          <w:color w:val="000000"/>
        </w:rPr>
        <w:t xml:space="preserve"> </w:t>
      </w:r>
      <w:r>
        <w:rPr>
          <w:color w:val="000000"/>
        </w:rPr>
        <w:t xml:space="preserve">Dollars ($        ) </w:t>
      </w:r>
      <w:r>
        <w:t xml:space="preserve">shall together comprise the contract between the parties </w:t>
      </w:r>
      <w:r>
        <w:rPr>
          <w:u w:val="single"/>
        </w:rPr>
        <w:t>AND</w:t>
      </w:r>
      <w:r>
        <w:t xml:space="preserve"> if the Contractor or the Principal is two or more persons then they shall be bound jointly and severally.</w:t>
      </w:r>
    </w:p>
    <w:p w:rsidR="00B54CF0" w:rsidRDefault="00B54CF0">
      <w:pPr>
        <w:widowControl w:val="0"/>
      </w:pPr>
    </w:p>
    <w:p w:rsidR="00B54CF0" w:rsidRDefault="00B54CF0">
      <w:pPr>
        <w:widowControl w:val="0"/>
        <w:tabs>
          <w:tab w:val="left" w:pos="5670"/>
        </w:tabs>
      </w:pPr>
      <w:r>
        <w:rPr>
          <w:u w:val="single"/>
        </w:rPr>
        <w:t>THE COMMON SEAL</w:t>
      </w:r>
      <w:r>
        <w:t xml:space="preserve"> of the MINISTER FOR</w:t>
      </w:r>
      <w:r w:rsidR="007C785C">
        <w:t xml:space="preserve"> </w:t>
      </w:r>
      <w:r>
        <w:tab/>
        <w:t>)</w:t>
      </w:r>
    </w:p>
    <w:p w:rsidR="00B54CF0" w:rsidRDefault="007C785C">
      <w:pPr>
        <w:widowControl w:val="0"/>
        <w:tabs>
          <w:tab w:val="left" w:pos="5670"/>
        </w:tabs>
      </w:pPr>
      <w:r>
        <w:t xml:space="preserve">TRANSPORT AND </w:t>
      </w:r>
      <w:r w:rsidR="00B54CF0">
        <w:t xml:space="preserve">INFRASTRUCTURE was affixed  </w:t>
      </w:r>
      <w:r w:rsidR="00B54CF0">
        <w:tab/>
        <w:t>)</w:t>
      </w:r>
    </w:p>
    <w:p w:rsidR="00B54CF0" w:rsidRDefault="007C785C">
      <w:pPr>
        <w:widowControl w:val="0"/>
        <w:tabs>
          <w:tab w:val="left" w:pos="5670"/>
        </w:tabs>
      </w:pPr>
      <w:r>
        <w:t xml:space="preserve">hereto by authority of </w:t>
      </w:r>
      <w:r w:rsidR="00B54CF0">
        <w:t>the Minister in the presence of:</w:t>
      </w:r>
      <w:r w:rsidR="00B54CF0">
        <w:tab/>
        <w:t>)</w:t>
      </w:r>
    </w:p>
    <w:p w:rsidR="00B54CF0" w:rsidRDefault="00B54CF0">
      <w:pPr>
        <w:widowControl w:val="0"/>
      </w:pPr>
    </w:p>
    <w:p w:rsidR="00B54CF0" w:rsidRDefault="00B54CF0">
      <w:pPr>
        <w:widowControl w:val="0"/>
      </w:pPr>
    </w:p>
    <w:p w:rsidR="00B54CF0" w:rsidRDefault="00B54CF0">
      <w:pPr>
        <w:widowControl w:val="0"/>
      </w:pPr>
      <w:r>
        <w:t>..................................…...............................…………..</w:t>
      </w:r>
    </w:p>
    <w:p w:rsidR="00B54CF0" w:rsidRDefault="00B54CF0">
      <w:pPr>
        <w:widowControl w:val="0"/>
        <w:tabs>
          <w:tab w:val="left" w:pos="5387"/>
        </w:tabs>
      </w:pPr>
      <w:r>
        <w:t>Authorised Officer</w:t>
      </w:r>
    </w:p>
    <w:p w:rsidR="00B54CF0" w:rsidRDefault="00B54CF0">
      <w:pPr>
        <w:widowControl w:val="0"/>
        <w:tabs>
          <w:tab w:val="left" w:pos="5387"/>
        </w:tabs>
      </w:pPr>
    </w:p>
    <w:p w:rsidR="00B54CF0" w:rsidRDefault="00B54CF0">
      <w:pPr>
        <w:widowControl w:val="0"/>
        <w:tabs>
          <w:tab w:val="left" w:pos="5670"/>
        </w:tabs>
        <w:rPr>
          <w:color w:val="000000"/>
        </w:rPr>
      </w:pPr>
      <w:r>
        <w:rPr>
          <w:u w:val="single"/>
        </w:rPr>
        <w:t>THE COMMON SEAL</w:t>
      </w:r>
      <w:r>
        <w:t xml:space="preserve"> of </w:t>
      </w:r>
      <w:r>
        <w:rPr>
          <w:caps/>
          <w:u w:val="single"/>
        </w:rPr>
        <w:t>&lt;#GBC_TENDER.AWARDED&gt;</w:t>
      </w:r>
      <w:r>
        <w:rPr>
          <w:color w:val="000000"/>
        </w:rPr>
        <w:tab/>
        <w:t>)</w:t>
      </w:r>
    </w:p>
    <w:p w:rsidR="00B54CF0" w:rsidRDefault="00B54CF0">
      <w:pPr>
        <w:widowControl w:val="0"/>
        <w:tabs>
          <w:tab w:val="left" w:pos="5670"/>
        </w:tabs>
      </w:pPr>
      <w:r>
        <w:rPr>
          <w:color w:val="000000"/>
        </w:rPr>
        <w:t xml:space="preserve">(ACN </w:t>
      </w:r>
      <w:r>
        <w:rPr>
          <w:color w:val="FF0000"/>
        </w:rPr>
        <w:t>number</w:t>
      </w:r>
      <w:r>
        <w:rPr>
          <w:color w:val="000000"/>
        </w:rPr>
        <w:t xml:space="preserve">) </w:t>
      </w:r>
      <w:r>
        <w:t>was affixed hereto in the presence of:</w:t>
      </w:r>
      <w:r>
        <w:tab/>
      </w:r>
      <w:r>
        <w:rPr>
          <w:color w:val="000000"/>
        </w:rPr>
        <w:t>)</w:t>
      </w:r>
    </w:p>
    <w:p w:rsidR="00B54CF0" w:rsidRDefault="00B54CF0">
      <w:pPr>
        <w:widowControl w:val="0"/>
        <w:tabs>
          <w:tab w:val="left" w:pos="5670"/>
        </w:tabs>
      </w:pPr>
      <w:r>
        <w:rPr>
          <w:color w:val="000000"/>
        </w:rPr>
        <w:tab/>
      </w:r>
      <w:r>
        <w:t>)</w:t>
      </w:r>
    </w:p>
    <w:p w:rsidR="00B54CF0" w:rsidRDefault="00B54CF0">
      <w:pPr>
        <w:widowControl w:val="0"/>
      </w:pPr>
      <w:r>
        <w:t>......................................…...........................…………..</w:t>
      </w:r>
    </w:p>
    <w:p w:rsidR="00B54CF0" w:rsidRDefault="00B54CF0">
      <w:pPr>
        <w:widowControl w:val="0"/>
      </w:pPr>
      <w:r>
        <w:t>Director</w:t>
      </w:r>
    </w:p>
    <w:p w:rsidR="00B54CF0" w:rsidRDefault="00B54CF0">
      <w:pPr>
        <w:widowControl w:val="0"/>
      </w:pPr>
    </w:p>
    <w:p w:rsidR="00B54CF0" w:rsidRDefault="00B54CF0">
      <w:pPr>
        <w:widowControl w:val="0"/>
      </w:pPr>
      <w:r>
        <w:t>........................................…........................…………..</w:t>
      </w:r>
    </w:p>
    <w:p w:rsidR="00B54CF0" w:rsidRDefault="00B54CF0">
      <w:pPr>
        <w:pStyle w:val="Header"/>
        <w:widowControl w:val="0"/>
        <w:tabs>
          <w:tab w:val="clear" w:pos="4320"/>
          <w:tab w:val="clear" w:pos="8640"/>
        </w:tabs>
      </w:pPr>
      <w:r>
        <w:t>Director/Secretary</w:t>
      </w:r>
    </w:p>
    <w:p w:rsidR="00B54CF0" w:rsidRDefault="00B54CF0">
      <w:pPr>
        <w:pStyle w:val="Heading4"/>
        <w:keepLines/>
      </w:pPr>
      <w:r>
        <w:br w:type="page"/>
        <w:t>RECITAL</w:t>
      </w:r>
    </w:p>
    <w:p w:rsidR="00B54CF0" w:rsidRDefault="00B54CF0">
      <w:pPr>
        <w:keepNext/>
        <w:keepLines/>
        <w:rPr>
          <w:snapToGrid w:val="0"/>
        </w:rPr>
      </w:pPr>
      <w:r>
        <w:rPr>
          <w:snapToGrid w:val="0"/>
        </w:rPr>
        <w:t xml:space="preserve">The </w:t>
      </w:r>
      <w:r>
        <w:t xml:space="preserve">Minister for </w:t>
      </w:r>
      <w:r w:rsidR="007C785C">
        <w:t xml:space="preserve">Transport and </w:t>
      </w:r>
      <w:r>
        <w:t xml:space="preserve">Infrastructure </w:t>
      </w:r>
      <w:r>
        <w:rPr>
          <w:snapToGrid w:val="0"/>
        </w:rPr>
        <w:t>enters into this Agreement as the party with whom the contractual rights and obligations lie.</w:t>
      </w:r>
    </w:p>
    <w:p w:rsidR="00B54CF0" w:rsidRDefault="00B54CF0">
      <w:pPr>
        <w:keepNext/>
        <w:keepLines/>
        <w:rPr>
          <w:snapToGrid w:val="0"/>
        </w:rPr>
      </w:pPr>
      <w:r>
        <w:rPr>
          <w:snapToGrid w:val="0"/>
        </w:rPr>
        <w:t>For the internal purposes of the State the Minister will deliver the project for the benefit of the State and in particular for the benefit of the</w:t>
      </w:r>
      <w:r>
        <w:rPr>
          <w:b/>
          <w:bCs/>
          <w:snapToGrid w:val="0"/>
        </w:rPr>
        <w:t xml:space="preserve"> </w:t>
      </w:r>
      <w:r w:rsidRPr="00F03A85">
        <w:rPr>
          <w:bCs/>
          <w:snapToGrid w:val="0"/>
        </w:rPr>
        <w:t xml:space="preserve">Minister of </w:t>
      </w:r>
      <w:r w:rsidRPr="00F03A85">
        <w:rPr>
          <w:bCs/>
          <w:snapToGrid w:val="0"/>
          <w:color w:val="FF0000"/>
        </w:rPr>
        <w:t>lead agency portfolio</w:t>
      </w:r>
      <w:r>
        <w:rPr>
          <w:snapToGrid w:val="0"/>
          <w:color w:val="FF0000"/>
        </w:rPr>
        <w:t>.</w:t>
      </w:r>
    </w:p>
    <w:p w:rsidR="00B54CF0" w:rsidRDefault="00B54CF0">
      <w:pPr>
        <w:keepNext/>
        <w:keepLines/>
        <w:rPr>
          <w:snapToGrid w:val="0"/>
        </w:rPr>
      </w:pPr>
      <w:r>
        <w:rPr>
          <w:snapToGrid w:val="0"/>
        </w:rPr>
        <w:t>However, nothing in this Agreement imposes any legal obligations on or vests any legal rights in the</w:t>
      </w:r>
      <w:r>
        <w:rPr>
          <w:i/>
          <w:iCs/>
          <w:snapToGrid w:val="0"/>
        </w:rPr>
        <w:t xml:space="preserve"> </w:t>
      </w:r>
      <w:r w:rsidRPr="00F03A85">
        <w:rPr>
          <w:bCs/>
          <w:snapToGrid w:val="0"/>
        </w:rPr>
        <w:t xml:space="preserve">Minister of </w:t>
      </w:r>
      <w:r w:rsidRPr="00F03A85">
        <w:rPr>
          <w:bCs/>
          <w:snapToGrid w:val="0"/>
          <w:color w:val="FF0000"/>
        </w:rPr>
        <w:t>lead agency portfolio</w:t>
      </w:r>
      <w:r>
        <w:rPr>
          <w:snapToGrid w:val="0"/>
        </w:rPr>
        <w:t>.</w:t>
      </w:r>
    </w:p>
    <w:p w:rsidR="00B54CF0" w:rsidRDefault="00B54CF0">
      <w:pPr>
        <w:pStyle w:val="Heading1"/>
        <w:keepLines/>
        <w:numPr>
          <w:ilvl w:val="0"/>
          <w:numId w:val="0"/>
        </w:numPr>
      </w:pPr>
      <w:bookmarkStart w:id="1" w:name="_Toc19358488"/>
      <w:r>
        <w:t>PREAMBLE</w:t>
      </w:r>
      <w:bookmarkEnd w:id="1"/>
    </w:p>
    <w:p w:rsidR="00B54CF0" w:rsidRDefault="00462F2E">
      <w:pPr>
        <w:keepNext/>
        <w:keepLines/>
      </w:pPr>
      <w:r>
        <w:t>T</w:t>
      </w:r>
      <w:r w:rsidR="00B54CF0">
        <w:t xml:space="preserve">he Department </w:t>
      </w:r>
      <w:r w:rsidR="00BD7E27">
        <w:t>of</w:t>
      </w:r>
      <w:r w:rsidR="00B54CF0">
        <w:t xml:space="preserve"> </w:t>
      </w:r>
      <w:r w:rsidR="007C785C">
        <w:t xml:space="preserve">Planning, </w:t>
      </w:r>
      <w:r w:rsidR="00B54CF0">
        <w:t xml:space="preserve">Transport and Infrastructure </w:t>
      </w:r>
      <w:r w:rsidR="00BD7E27">
        <w:t xml:space="preserve">(DPTI) </w:t>
      </w:r>
      <w:r w:rsidR="00B54CF0">
        <w:t>provides asset, risk and project advice and management to the South Australian Government and its agencies and facilitates the interface between Government and the building and construction industry.</w:t>
      </w:r>
    </w:p>
    <w:p w:rsidR="00B54CF0" w:rsidRDefault="00B54CF0">
      <w:pPr>
        <w:keepNext/>
        <w:keepLines/>
      </w:pPr>
      <w:r>
        <w:t xml:space="preserve">In partnership with the building industry </w:t>
      </w:r>
      <w:r w:rsidR="00462F2E">
        <w:t>DPTI</w:t>
      </w:r>
      <w:r>
        <w:t xml:space="preserve"> strives for excellence in the delivery of its projects to the South Australian community.</w:t>
      </w:r>
    </w:p>
    <w:p w:rsidR="00B54CF0" w:rsidRDefault="00B54CF0">
      <w:pPr>
        <w:keepNext/>
        <w:keepLines/>
      </w:pPr>
      <w:r>
        <w:t>The Contractor contracts to construct the works and to manage the sub-contractors while liaising with the Principal, Principal’s professional service contractors and all other relevant stakeholders in return for a Contract Price.</w:t>
      </w:r>
    </w:p>
    <w:p w:rsidR="00B54CF0" w:rsidRDefault="00B54CF0">
      <w:pPr>
        <w:keepNext/>
        <w:keepLines/>
      </w:pPr>
      <w:r>
        <w:t xml:space="preserve">This project is being delivered for the </w:t>
      </w:r>
      <w:r w:rsidRPr="00F03A85">
        <w:rPr>
          <w:bCs/>
        </w:rPr>
        <w:t>&lt;#Project.Lead_Agency&gt;</w:t>
      </w:r>
      <w:r>
        <w:t>.  The lead agency wishes to work as a team with D</w:t>
      </w:r>
      <w:r w:rsidR="007C785C">
        <w:t>PTI</w:t>
      </w:r>
      <w:r>
        <w:t>, the Contractor and the appointed professional service contractors to achieve project objectives particularly completion to specified quality, program and budget.</w:t>
      </w:r>
    </w:p>
    <w:p w:rsidR="00B54CF0" w:rsidRDefault="00B54CF0">
      <w:pPr>
        <w:keepNext/>
        <w:keepLines/>
        <w:sectPr w:rsidR="00B54CF0">
          <w:footerReference w:type="default" r:id="rId9"/>
          <w:pgSz w:w="11907" w:h="16840" w:code="9"/>
          <w:pgMar w:top="1418" w:right="1418" w:bottom="1418" w:left="1985" w:header="720" w:footer="720" w:gutter="0"/>
          <w:pgNumType w:start="1"/>
          <w:cols w:space="720"/>
        </w:sectPr>
      </w:pPr>
    </w:p>
    <w:p w:rsidR="00B54CF0" w:rsidRDefault="00DD358B">
      <w:pPr>
        <w:keepNext/>
        <w:keepLines/>
        <w:jc w:val="right"/>
      </w:pPr>
      <w:r>
        <w:rPr>
          <w:noProof/>
          <w:lang w:eastAsia="en-AU"/>
        </w:rPr>
        <w:drawing>
          <wp:inline distT="0" distB="0" distL="0" distR="0">
            <wp:extent cx="2238375" cy="7048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CF0" w:rsidRDefault="00B54CF0">
      <w:pPr>
        <w:keepNext/>
        <w:keepLines/>
        <w:rPr>
          <w:b/>
          <w:bCs/>
        </w:rPr>
      </w:pPr>
    </w:p>
    <w:p w:rsidR="00B54CF0" w:rsidRDefault="00B54CF0">
      <w:pPr>
        <w:keepNext/>
        <w:keepLines/>
        <w:rPr>
          <w:b/>
          <w:bCs/>
        </w:rPr>
      </w:pPr>
    </w:p>
    <w:p w:rsidR="00B54CF0" w:rsidRDefault="00B54CF0">
      <w:pPr>
        <w:keepNext/>
        <w:keepLines/>
        <w:rPr>
          <w:b/>
          <w:bCs/>
        </w:rPr>
      </w:pPr>
    </w:p>
    <w:p w:rsidR="00B54CF0" w:rsidRDefault="00B54CF0">
      <w:pPr>
        <w:keepNext/>
        <w:keepLines/>
        <w:rPr>
          <w:b/>
          <w:bCs/>
        </w:rPr>
      </w:pPr>
    </w:p>
    <w:p w:rsidR="00B54CF0" w:rsidRDefault="00B54CF0">
      <w:pPr>
        <w:keepNext/>
        <w:keepLines/>
        <w:rPr>
          <w:b/>
          <w:bCs/>
        </w:rPr>
      </w:pPr>
    </w:p>
    <w:p w:rsidR="00B54CF0" w:rsidRDefault="00B54CF0">
      <w:pPr>
        <w:keepNext/>
        <w:keepLines/>
        <w:rPr>
          <w:b/>
          <w:bCs/>
        </w:rPr>
      </w:pPr>
    </w:p>
    <w:p w:rsidR="00B54CF0" w:rsidRDefault="00B54CF0">
      <w:pPr>
        <w:keepNext/>
        <w:keepLines/>
        <w:rPr>
          <w:b/>
          <w:bCs/>
        </w:rPr>
      </w:pPr>
    </w:p>
    <w:p w:rsidR="00B54CF0" w:rsidRDefault="00B54CF0">
      <w:pPr>
        <w:keepNext/>
        <w:keepLines/>
        <w:rPr>
          <w:b/>
          <w:bCs/>
          <w:highlight w:val="yellow"/>
        </w:rPr>
      </w:pPr>
    </w:p>
    <w:p w:rsidR="00B54CF0" w:rsidRDefault="00B54CF0">
      <w:pPr>
        <w:keepNext/>
        <w:keepLines/>
        <w:rPr>
          <w:b/>
          <w:bCs/>
          <w:highlight w:val="yellow"/>
        </w:rPr>
      </w:pPr>
    </w:p>
    <w:p w:rsidR="00B54CF0" w:rsidRDefault="00B54CF0">
      <w:pPr>
        <w:keepNext/>
        <w:keepLines/>
        <w:rPr>
          <w:b/>
          <w:bCs/>
          <w:highlight w:val="yellow"/>
        </w:rPr>
      </w:pPr>
    </w:p>
    <w:p w:rsidR="00B54CF0" w:rsidRDefault="00B54CF0">
      <w:pPr>
        <w:keepNext/>
        <w:keepLines/>
        <w:tabs>
          <w:tab w:val="left" w:pos="567"/>
        </w:tabs>
        <w:spacing w:after="0"/>
        <w:ind w:left="720" w:hanging="720"/>
        <w:jc w:val="left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&lt;#GBC_CONTRACT.CONTRACT_NAME&gt;</w:t>
      </w:r>
    </w:p>
    <w:p w:rsidR="00B54CF0" w:rsidRDefault="00B54CF0">
      <w:pPr>
        <w:keepNext/>
        <w:keepLines/>
        <w:tabs>
          <w:tab w:val="left" w:pos="567"/>
        </w:tabs>
        <w:ind w:left="720" w:hanging="720"/>
        <w:rPr>
          <w:b/>
          <w:bCs/>
        </w:rPr>
      </w:pPr>
    </w:p>
    <w:p w:rsidR="00B54CF0" w:rsidRDefault="00B54CF0">
      <w:pPr>
        <w:keepNext/>
        <w:keepLines/>
      </w:pPr>
    </w:p>
    <w:p w:rsidR="00B54CF0" w:rsidRDefault="00B54CF0">
      <w:pPr>
        <w:keepNext/>
        <w:keepLines/>
      </w:pPr>
    </w:p>
    <w:p w:rsidR="00B54CF0" w:rsidRDefault="00B54CF0">
      <w:pPr>
        <w:keepNext/>
        <w:keepLines/>
      </w:pPr>
    </w:p>
    <w:p w:rsidR="00B54CF0" w:rsidRDefault="00B54CF0">
      <w:pPr>
        <w:keepNext/>
        <w:keepLines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SPECIFICATION</w:t>
      </w:r>
    </w:p>
    <w:p w:rsidR="00B54CF0" w:rsidRDefault="00B54CF0">
      <w:pPr>
        <w:pStyle w:val="Header"/>
        <w:keepNext/>
        <w:keepLines/>
        <w:tabs>
          <w:tab w:val="clear" w:pos="4320"/>
          <w:tab w:val="clear" w:pos="8640"/>
        </w:tabs>
      </w:pPr>
    </w:p>
    <w:p w:rsidR="00B54CF0" w:rsidRDefault="00B54CF0">
      <w:pPr>
        <w:keepNext/>
        <w:keepLines/>
        <w:tabs>
          <w:tab w:val="left" w:pos="3261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CONTRACT NO:</w:t>
      </w:r>
      <w:r>
        <w:rPr>
          <w:sz w:val="28"/>
          <w:szCs w:val="28"/>
        </w:rPr>
        <w:tab/>
      </w:r>
      <w:r>
        <w:rPr>
          <w:b/>
          <w:bCs/>
          <w:caps/>
          <w:sz w:val="28"/>
          <w:szCs w:val="28"/>
        </w:rPr>
        <w:t>&lt;#GBC_TENDER.CONTRACT_NO&gt;</w:t>
      </w:r>
    </w:p>
    <w:p w:rsidR="00B54CF0" w:rsidRDefault="00B54CF0">
      <w:pPr>
        <w:keepNext/>
        <w:keepLines/>
        <w:tabs>
          <w:tab w:val="left" w:pos="3261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CONTRACT VOLUME:</w:t>
      </w:r>
      <w:r>
        <w:rPr>
          <w:b/>
          <w:bCs/>
          <w:sz w:val="28"/>
          <w:szCs w:val="28"/>
        </w:rPr>
        <w:tab/>
        <w:t>2</w:t>
      </w:r>
    </w:p>
    <w:p w:rsidR="00B54CF0" w:rsidRDefault="00B54CF0" w:rsidP="002815E2">
      <w:pPr>
        <w:keepNext/>
        <w:keepLines/>
        <w:jc w:val="right"/>
        <w:rPr>
          <w:sz w:val="28"/>
          <w:szCs w:val="28"/>
        </w:rPr>
      </w:pPr>
    </w:p>
    <w:sectPr w:rsidR="00B54CF0">
      <w:pgSz w:w="11907" w:h="16840" w:code="9"/>
      <w:pgMar w:top="1418" w:right="1418" w:bottom="1418" w:left="1985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EC3" w:rsidRDefault="00AA6EC3">
      <w:r>
        <w:separator/>
      </w:r>
    </w:p>
  </w:endnote>
  <w:endnote w:type="continuationSeparator" w:id="0">
    <w:p w:rsidR="00AA6EC3" w:rsidRDefault="00AA6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CF0" w:rsidRDefault="00B54CF0">
    <w:pPr>
      <w:jc w:val="right"/>
      <w:rPr>
        <w:rFonts w:eastAsia="Arial Unicode MS"/>
        <w:sz w:val="16"/>
        <w:szCs w:val="16"/>
      </w:rPr>
    </w:pPr>
    <w:r>
      <w:rPr>
        <w:sz w:val="16"/>
        <w:szCs w:val="16"/>
      </w:rPr>
      <w:t>&lt;#PROJECT.PROJECT_NAME&gt;</w:t>
    </w:r>
  </w:p>
  <w:p w:rsidR="00B54CF0" w:rsidRDefault="00B54CF0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EC3" w:rsidRDefault="00AA6EC3">
      <w:r>
        <w:separator/>
      </w:r>
    </w:p>
  </w:footnote>
  <w:footnote w:type="continuationSeparator" w:id="0">
    <w:p w:rsidR="00AA6EC3" w:rsidRDefault="00AA6E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D0795"/>
    <w:multiLevelType w:val="multilevel"/>
    <w:tmpl w:val="29FE6C72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">
    <w:nsid w:val="7557663F"/>
    <w:multiLevelType w:val="singleLevel"/>
    <w:tmpl w:val="22F466F2"/>
    <w:lvl w:ilvl="0">
      <w:start w:val="1"/>
      <w:numFmt w:val="decimal"/>
      <w:pStyle w:val="Bullet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isplayHorizontalDrawingGridEvery w:val="0"/>
  <w:displayVerticalDrawingGridEvery w:val="0"/>
  <w:doNotUseMarginsForDrawingGridOrigin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664A8"/>
    <w:rsid w:val="000170A6"/>
    <w:rsid w:val="000F7894"/>
    <w:rsid w:val="00143029"/>
    <w:rsid w:val="00202A08"/>
    <w:rsid w:val="002815E2"/>
    <w:rsid w:val="002A2172"/>
    <w:rsid w:val="0031126E"/>
    <w:rsid w:val="00462F2E"/>
    <w:rsid w:val="00523979"/>
    <w:rsid w:val="00554D90"/>
    <w:rsid w:val="005B4866"/>
    <w:rsid w:val="006D4963"/>
    <w:rsid w:val="00784C1E"/>
    <w:rsid w:val="0079545B"/>
    <w:rsid w:val="007A17CE"/>
    <w:rsid w:val="007C785C"/>
    <w:rsid w:val="00932BF1"/>
    <w:rsid w:val="00962FBA"/>
    <w:rsid w:val="009F1F47"/>
    <w:rsid w:val="00AA6EC3"/>
    <w:rsid w:val="00AC53F7"/>
    <w:rsid w:val="00AE6CC7"/>
    <w:rsid w:val="00B27E9A"/>
    <w:rsid w:val="00B42E8E"/>
    <w:rsid w:val="00B53009"/>
    <w:rsid w:val="00B54CF0"/>
    <w:rsid w:val="00B664A8"/>
    <w:rsid w:val="00BB1E04"/>
    <w:rsid w:val="00BD7E27"/>
    <w:rsid w:val="00C4351A"/>
    <w:rsid w:val="00C53753"/>
    <w:rsid w:val="00DC53C4"/>
    <w:rsid w:val="00DD358B"/>
    <w:rsid w:val="00E13F83"/>
    <w:rsid w:val="00E16B51"/>
    <w:rsid w:val="00E911DF"/>
    <w:rsid w:val="00EB3FA6"/>
    <w:rsid w:val="00EF1D86"/>
    <w:rsid w:val="00F03A85"/>
    <w:rsid w:val="00F8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40" w:lineRule="auto"/>
      <w:jc w:val="both"/>
    </w:pPr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2"/>
      </w:numPr>
      <w:spacing w:before="240" w:after="240"/>
      <w:outlineLvl w:val="0"/>
    </w:pPr>
    <w:rPr>
      <w:b/>
      <w:bCs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2"/>
      </w:numPr>
      <w:spacing w:before="120"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426"/>
      </w:tabs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ascii="Calibri" w:hAnsi="Calibri" w:cs="Calibr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ascii="Calibri" w:hAnsi="Calibri" w:cs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rFonts w:ascii="Cambria" w:hAnsi="Cambria" w:cs="Cambri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Arial"/>
      <w:lang w:eastAsia="en-US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tabs>
        <w:tab w:val="left" w:pos="426"/>
      </w:tabs>
    </w:p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Arial" w:hAnsi="Arial" w:cs="Arial"/>
      <w:lang w:eastAsia="en-US"/>
    </w:rPr>
  </w:style>
  <w:style w:type="paragraph" w:styleId="BodyText2">
    <w:name w:val="Body Text 2"/>
    <w:basedOn w:val="Normal"/>
    <w:link w:val="BodyText2Char"/>
    <w:uiPriority w:val="99"/>
    <w:pPr>
      <w:tabs>
        <w:tab w:val="left" w:pos="2552"/>
        <w:tab w:val="left" w:pos="4536"/>
      </w:tabs>
      <w:ind w:left="4536" w:hanging="4536"/>
    </w:p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ascii="Arial" w:hAnsi="Arial" w:cs="Arial"/>
      <w:lang w:eastAsia="en-US"/>
    </w:rPr>
  </w:style>
  <w:style w:type="paragraph" w:styleId="BodyText3">
    <w:name w:val="Body Text 3"/>
    <w:basedOn w:val="Normal"/>
    <w:link w:val="BodyText3Char"/>
    <w:uiPriority w:val="99"/>
    <w:pPr>
      <w:keepNext/>
      <w:tabs>
        <w:tab w:val="left" w:pos="567"/>
        <w:tab w:val="left" w:pos="1276"/>
      </w:tabs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locked/>
    <w:rPr>
      <w:rFonts w:ascii="Arial" w:hAnsi="Arial" w:cs="Arial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customStyle="1" w:styleId="Bullet">
    <w:name w:val="Bullet"/>
    <w:basedOn w:val="Normal"/>
    <w:uiPriority w:val="99"/>
    <w:pPr>
      <w:numPr>
        <w:numId w:val="1"/>
      </w:numPr>
      <w:spacing w:before="120"/>
    </w:pPr>
    <w:rPr>
      <w:b/>
      <w:bCs/>
    </w:rPr>
  </w:style>
  <w:style w:type="paragraph" w:customStyle="1" w:styleId="Body2">
    <w:name w:val="Body 2"/>
    <w:basedOn w:val="Normal"/>
    <w:uiPriority w:val="99"/>
    <w:pPr>
      <w:spacing w:after="240" w:line="360" w:lineRule="auto"/>
      <w:ind w:left="1418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99"/>
    <w:pPr>
      <w:tabs>
        <w:tab w:val="left" w:pos="440"/>
        <w:tab w:val="left" w:pos="567"/>
        <w:tab w:val="right" w:pos="8789"/>
      </w:tabs>
      <w:spacing w:before="120"/>
      <w:jc w:val="left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99"/>
    <w:pPr>
      <w:tabs>
        <w:tab w:val="left" w:pos="709"/>
        <w:tab w:val="right" w:pos="8789"/>
      </w:tabs>
      <w:spacing w:after="0"/>
      <w:jc w:val="left"/>
    </w:pPr>
    <w:rPr>
      <w:noProof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A0FB2-E376-46CE-A804-D598E449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596</Words>
  <Characters>3400</Characters>
  <Application>Microsoft Office Word</Application>
  <DocSecurity>0</DocSecurity>
  <Lines>28</Lines>
  <Paragraphs>7</Paragraphs>
  <ScaleCrop>false</ScaleCrop>
  <Company>DAIS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CONDITIONS OF TENDERING</dc:title>
  <dc:creator>.</dc:creator>
  <cp:lastModifiedBy>DPTI</cp:lastModifiedBy>
  <cp:revision>2</cp:revision>
  <cp:lastPrinted>2002-09-24T08:57:00Z</cp:lastPrinted>
  <dcterms:created xsi:type="dcterms:W3CDTF">2015-09-01T00:26:00Z</dcterms:created>
  <dcterms:modified xsi:type="dcterms:W3CDTF">2015-09-01T00:26:00Z</dcterms:modified>
</cp:coreProperties>
</file>