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0D05DF" w14:textId="36E7316B" w:rsidR="00DD5CE8" w:rsidRPr="00921035" w:rsidRDefault="00921035">
      <w:pPr>
        <w:pStyle w:val="Heading1"/>
        <w:numPr>
          <w:ilvl w:val="0"/>
          <w:numId w:val="0"/>
        </w:numPr>
        <w:tabs>
          <w:tab w:val="left" w:pos="2127"/>
        </w:tabs>
        <w:spacing w:before="0" w:after="120"/>
        <w:ind w:left="2127" w:hanging="2127"/>
        <w:rPr>
          <w:b w:val="0"/>
          <w:bCs w:val="0"/>
        </w:rPr>
      </w:pPr>
      <w:r w:rsidRPr="00921035">
        <w:rPr>
          <w:b w:val="0"/>
          <w:bCs w:val="0"/>
          <w:caps w:val="0"/>
          <w:sz w:val="24"/>
          <w:szCs w:val="24"/>
        </w:rPr>
        <w:t>Attachment</w:t>
      </w:r>
      <w:r w:rsidRPr="00921035">
        <w:rPr>
          <w:b w:val="0"/>
          <w:bCs w:val="0"/>
        </w:rPr>
        <w:t xml:space="preserve"> </w:t>
      </w:r>
      <w:r w:rsidR="0041701C" w:rsidRPr="00921035">
        <w:rPr>
          <w:b w:val="0"/>
          <w:bCs w:val="0"/>
        </w:rPr>
        <w:t xml:space="preserve"> </w:t>
      </w:r>
      <w:r w:rsidR="00F20CBC">
        <w:rPr>
          <w:b w:val="0"/>
          <w:bCs w:val="0"/>
        </w:rPr>
        <w:t>8</w:t>
      </w:r>
    </w:p>
    <w:p w14:paraId="5332A118" w14:textId="0DEF0E87" w:rsidR="00C50E0B" w:rsidRDefault="00C50E0B">
      <w:pPr>
        <w:pStyle w:val="Heading1"/>
        <w:numPr>
          <w:ilvl w:val="0"/>
          <w:numId w:val="0"/>
        </w:numPr>
        <w:tabs>
          <w:tab w:val="left" w:pos="2127"/>
        </w:tabs>
        <w:spacing w:before="0" w:after="120"/>
        <w:ind w:left="2127" w:hanging="2127"/>
      </w:pPr>
      <w:r>
        <w:t>schedule 4:</w:t>
      </w:r>
      <w:r>
        <w:tab/>
        <w:t xml:space="preserve">notes on </w:t>
      </w:r>
      <w:r w:rsidR="00C3642E">
        <w:t xml:space="preserve">PUBLICATIONS, POLICIES AND </w:t>
      </w:r>
      <w:r>
        <w:t xml:space="preserve">guide notes for </w:t>
      </w:r>
      <w:r w:rsidR="00512E08" w:rsidRPr="00966A7E">
        <w:rPr>
          <w:i/>
        </w:rPr>
        <w:t>CONSULTANTS</w:t>
      </w:r>
      <w:r w:rsidR="00512E08">
        <w:t xml:space="preserve"> (</w:t>
      </w:r>
      <w:r>
        <w:t>PROFESSIONAL SERVICE CONTRACTORS)</w:t>
      </w:r>
    </w:p>
    <w:p w14:paraId="585AF63A" w14:textId="77777777" w:rsidR="00D46B81" w:rsidRPr="00FF0D25" w:rsidRDefault="00D46B81" w:rsidP="00D46B81">
      <w:pPr>
        <w:spacing w:after="120"/>
        <w:rPr>
          <w:vanish/>
          <w:color w:val="FF0000"/>
        </w:rPr>
      </w:pPr>
      <w:r w:rsidRPr="00FF0D25">
        <w:rPr>
          <w:vanish/>
          <w:color w:val="FF0000"/>
        </w:rPr>
        <w:t>Project managers preparing tender and contract documents must strike out items in schedule 4 that are not relevant to the services e.g. if it is not a DECD project reference to DECD requirements are not relevant.</w:t>
      </w:r>
    </w:p>
    <w:p w14:paraId="34A4E71D" w14:textId="06DBF0A7" w:rsidR="00C50E0B" w:rsidRDefault="00C50E0B">
      <w:pPr>
        <w:pStyle w:val="BodyText"/>
      </w:pPr>
      <w:r>
        <w:t>This document is intended for use in conjunction with AS</w:t>
      </w:r>
      <w:r w:rsidR="008E7EEA">
        <w:t> </w:t>
      </w:r>
      <w:r>
        <w:t>4122</w:t>
      </w:r>
      <w:r w:rsidR="008E7EEA">
        <w:t>―</w:t>
      </w:r>
      <w:r>
        <w:t>2000 General conditions of contract for engagement of consultants (General Conditions). Terminology defined in the General Conditions has the same meaning in this Schedule 4.</w:t>
      </w:r>
    </w:p>
    <w:p w14:paraId="3543076C" w14:textId="69069A1C" w:rsidR="00C50E0B" w:rsidRDefault="00C50E0B">
      <w:pPr>
        <w:spacing w:after="120"/>
      </w:pPr>
      <w:r>
        <w:t xml:space="preserve">The </w:t>
      </w:r>
      <w:r>
        <w:rPr>
          <w:i/>
          <w:iCs/>
        </w:rPr>
        <w:t>Consultant</w:t>
      </w:r>
      <w:r>
        <w:t xml:space="preserve"> shall comply with all relevant </w:t>
      </w:r>
      <w:r w:rsidR="00287086">
        <w:t xml:space="preserve">Department for Infrastructure and Transport </w:t>
      </w:r>
      <w:r>
        <w:t xml:space="preserve">publications, policies and guide notes in carrying out the </w:t>
      </w:r>
      <w:r>
        <w:rPr>
          <w:i/>
          <w:iCs/>
        </w:rPr>
        <w:t>Services</w:t>
      </w:r>
      <w:r>
        <w:t xml:space="preserve">. They can be found in the </w:t>
      </w:r>
      <w:r w:rsidR="00FA231C">
        <w:t xml:space="preserve">Department </w:t>
      </w:r>
      <w:r>
        <w:t xml:space="preserve">Building Project Information Management System library at </w:t>
      </w:r>
      <w:hyperlink r:id="rId8" w:history="1">
        <w:r>
          <w:rPr>
            <w:rStyle w:val="Hyperlink"/>
            <w:rFonts w:cs="Arial"/>
          </w:rPr>
          <w:t>http://www.bpims.sa.gov.au/bpims/library/showLibrary.do</w:t>
        </w:r>
      </w:hyperlink>
      <w:r>
        <w:t>.</w:t>
      </w:r>
    </w:p>
    <w:p w14:paraId="67808370" w14:textId="77777777" w:rsidR="00C50E0B" w:rsidRDefault="00C50E0B">
      <w:pPr>
        <w:spacing w:after="120"/>
      </w:pPr>
      <w:r>
        <w:t>The notes below provide an overview of information contained in the guide notes.</w:t>
      </w:r>
    </w:p>
    <w:p w14:paraId="483F4B49" w14:textId="77777777" w:rsidR="00C50E0B" w:rsidRDefault="00C50E0B" w:rsidP="00474E05">
      <w:pPr>
        <w:pStyle w:val="Heading2"/>
      </w:pPr>
      <w:bookmarkStart w:id="0" w:name="_Toc521840906"/>
      <w:bookmarkStart w:id="1" w:name="_Toc522510691"/>
      <w:bookmarkStart w:id="2" w:name="_Toc524436687"/>
      <w:bookmarkStart w:id="3" w:name="_Toc524436817"/>
      <w:bookmarkStart w:id="4" w:name="_Toc525991823"/>
      <w:r>
        <w:t>Approval for Construction Contract Tender Call</w:t>
      </w:r>
      <w:bookmarkEnd w:id="0"/>
      <w:bookmarkEnd w:id="1"/>
      <w:bookmarkEnd w:id="2"/>
      <w:bookmarkEnd w:id="3"/>
      <w:bookmarkEnd w:id="4"/>
    </w:p>
    <w:p w14:paraId="3F380311" w14:textId="3579F8A8" w:rsidR="00C50E0B" w:rsidRDefault="00C50E0B" w:rsidP="00D754F6">
      <w:pPr>
        <w:spacing w:after="120"/>
      </w:pPr>
      <w:r>
        <w:t xml:space="preserve">Before calling tenders for the construction contract the </w:t>
      </w:r>
      <w:r>
        <w:rPr>
          <w:i/>
          <w:iCs/>
        </w:rPr>
        <w:t>Consultant</w:t>
      </w:r>
      <w:r>
        <w:t xml:space="preserve"> shall provide the </w:t>
      </w:r>
      <w:r w:rsidR="00FA231C">
        <w:t xml:space="preserve">Department </w:t>
      </w:r>
      <w:r>
        <w:t xml:space="preserve">project manager </w:t>
      </w:r>
      <w:r w:rsidR="005600BE">
        <w:t xml:space="preserve">with </w:t>
      </w:r>
      <w:r>
        <w:t>the completed Pre-Tender Call Declaration form</w:t>
      </w:r>
      <w:r w:rsidR="00A21CEA">
        <w:t xml:space="preserve"> in accordance with</w:t>
      </w:r>
      <w:r>
        <w:t xml:space="preserve"> the </w:t>
      </w:r>
      <w:r w:rsidR="008E7EEA">
        <w:t>proforma</w:t>
      </w:r>
      <w:r>
        <w:t xml:space="preserve"> “Pre-Tender Call </w:t>
      </w:r>
      <w:r w:rsidRPr="00794C42">
        <w:t>Declaration (</w:t>
      </w:r>
      <w:r w:rsidR="008E7EEA" w:rsidRPr="00660A17">
        <w:t>200</w:t>
      </w:r>
      <w:r w:rsidRPr="00660A17">
        <w:t>)”.</w:t>
      </w:r>
    </w:p>
    <w:p w14:paraId="62DA6AF5" w14:textId="097B4E86" w:rsidR="00C50E0B" w:rsidRPr="009E2102" w:rsidRDefault="00B32898">
      <w:pPr>
        <w:pStyle w:val="Heading2"/>
      </w:pPr>
      <w:bookmarkStart w:id="5" w:name="_Toc521840909"/>
      <w:bookmarkStart w:id="6" w:name="_Toc522510692"/>
      <w:bookmarkStart w:id="7" w:name="_Toc524436688"/>
      <w:bookmarkStart w:id="8" w:name="_Toc524436818"/>
      <w:bookmarkStart w:id="9" w:name="_Toc525991824"/>
      <w:r>
        <w:t xml:space="preserve">All </w:t>
      </w:r>
      <w:r w:rsidR="009E2102" w:rsidRPr="00660A17">
        <w:t>Record</w:t>
      </w:r>
      <w:r w:rsidR="00C50E0B" w:rsidRPr="009E2102">
        <w:t xml:space="preserve"> Drawings</w:t>
      </w:r>
      <w:bookmarkEnd w:id="5"/>
      <w:bookmarkEnd w:id="6"/>
      <w:bookmarkEnd w:id="7"/>
      <w:bookmarkEnd w:id="8"/>
      <w:bookmarkEnd w:id="9"/>
    </w:p>
    <w:p w14:paraId="6B61948A" w14:textId="77777777" w:rsidR="00606827" w:rsidRDefault="00C50E0B" w:rsidP="00474E05">
      <w:pPr>
        <w:spacing w:after="120"/>
      </w:pPr>
      <w:r w:rsidRPr="009E2102">
        <w:t xml:space="preserve">All </w:t>
      </w:r>
      <w:r w:rsidR="009E2102" w:rsidRPr="00660A17">
        <w:t xml:space="preserve">“Record” drawings </w:t>
      </w:r>
      <w:r w:rsidR="009E2102" w:rsidRPr="009E2102">
        <w:t>(having the same meaning as as-installed drawings, as-built drawings and work-as-executed drawings)</w:t>
      </w:r>
      <w:r w:rsidR="009E2102">
        <w:t xml:space="preserve"> </w:t>
      </w:r>
      <w:r w:rsidRPr="009E2102">
        <w:t>shall be provided in accordance with the guide note</w:t>
      </w:r>
      <w:r w:rsidR="005600BE">
        <w:t>s</w:t>
      </w:r>
      <w:r w:rsidRPr="009E2102">
        <w:t xml:space="preserve"> “As Built Documentati</w:t>
      </w:r>
      <w:r w:rsidRPr="00366B76">
        <w:t>on</w:t>
      </w:r>
      <w:r w:rsidR="00FE772D" w:rsidRPr="00366B76">
        <w:t>, Operations Manuals</w:t>
      </w:r>
      <w:r w:rsidRPr="00660A17">
        <w:t xml:space="preserve"> and Maintenance Manual (G54)”</w:t>
      </w:r>
      <w:r w:rsidR="005600BE">
        <w:t xml:space="preserve"> and</w:t>
      </w:r>
      <w:r w:rsidR="00376591">
        <w:t xml:space="preserve"> </w:t>
      </w:r>
      <w:r w:rsidR="005600BE">
        <w:t>“</w:t>
      </w:r>
      <w:r w:rsidR="00376591">
        <w:t>Electronic Document Requirements</w:t>
      </w:r>
      <w:r w:rsidR="005600BE">
        <w:t xml:space="preserve"> (G65)”</w:t>
      </w:r>
      <w:r w:rsidR="00376591">
        <w:t>.</w:t>
      </w:r>
      <w:r w:rsidR="00DD5CE8">
        <w:t xml:space="preserve"> </w:t>
      </w:r>
    </w:p>
    <w:p w14:paraId="7046134A" w14:textId="5E2DEEA5" w:rsidR="00C50E0B" w:rsidRPr="00606827" w:rsidRDefault="00DD5CE8" w:rsidP="00606827">
      <w:pPr>
        <w:shd w:val="clear" w:color="auto" w:fill="FFFFCC"/>
        <w:spacing w:after="120"/>
        <w:rPr>
          <w:i/>
          <w:iCs/>
        </w:rPr>
      </w:pPr>
      <w:r w:rsidRPr="00606827">
        <w:rPr>
          <w:i/>
          <w:iCs/>
        </w:rPr>
        <w:t xml:space="preserve">In </w:t>
      </w:r>
      <w:r w:rsidR="00606827" w:rsidRPr="00606827">
        <w:rPr>
          <w:i/>
          <w:iCs/>
        </w:rPr>
        <w:t>addition</w:t>
      </w:r>
      <w:r w:rsidR="00D03B92">
        <w:rPr>
          <w:i/>
          <w:iCs/>
        </w:rPr>
        <w:t xml:space="preserve"> to the ‘As Built” drawings</w:t>
      </w:r>
      <w:r w:rsidR="00606827" w:rsidRPr="00606827">
        <w:rPr>
          <w:i/>
          <w:iCs/>
        </w:rPr>
        <w:t>,</w:t>
      </w:r>
      <w:r w:rsidRPr="00606827">
        <w:rPr>
          <w:i/>
          <w:iCs/>
        </w:rPr>
        <w:t xml:space="preserve"> the DIT Building Information Management</w:t>
      </w:r>
      <w:r w:rsidR="00D03B92">
        <w:rPr>
          <w:i/>
          <w:iCs/>
        </w:rPr>
        <w:t xml:space="preserve"> (BIM)</w:t>
      </w:r>
      <w:r w:rsidRPr="00606827">
        <w:rPr>
          <w:i/>
          <w:iCs/>
        </w:rPr>
        <w:t xml:space="preserve">- Exchange Information Requirements (EIR) </w:t>
      </w:r>
      <w:r w:rsidR="00D03B92">
        <w:rPr>
          <w:i/>
          <w:iCs/>
        </w:rPr>
        <w:t xml:space="preserve">requires </w:t>
      </w:r>
      <w:r w:rsidRPr="00606827">
        <w:rPr>
          <w:i/>
          <w:iCs/>
        </w:rPr>
        <w:t>a ‘</w:t>
      </w:r>
      <w:r w:rsidR="00D03B92">
        <w:rPr>
          <w:i/>
          <w:iCs/>
        </w:rPr>
        <w:t>f</w:t>
      </w:r>
      <w:r w:rsidRPr="00606827">
        <w:rPr>
          <w:i/>
          <w:iCs/>
        </w:rPr>
        <w:t>ederated</w:t>
      </w:r>
      <w:r w:rsidR="00606827" w:rsidRPr="00606827">
        <w:rPr>
          <w:i/>
          <w:iCs/>
        </w:rPr>
        <w:t>’</w:t>
      </w:r>
      <w:r w:rsidRPr="00606827">
        <w:rPr>
          <w:i/>
          <w:iCs/>
        </w:rPr>
        <w:t xml:space="preserve"> 3D Model to be submitted as part of the Design Review </w:t>
      </w:r>
      <w:r w:rsidR="00606827" w:rsidRPr="00606827">
        <w:rPr>
          <w:i/>
          <w:iCs/>
        </w:rPr>
        <w:t xml:space="preserve">process </w:t>
      </w:r>
      <w:r w:rsidRPr="00606827">
        <w:rPr>
          <w:i/>
          <w:iCs/>
        </w:rPr>
        <w:t xml:space="preserve">and </w:t>
      </w:r>
      <w:r w:rsidR="00606827" w:rsidRPr="00606827">
        <w:rPr>
          <w:i/>
          <w:iCs/>
        </w:rPr>
        <w:t>an updated</w:t>
      </w:r>
      <w:r w:rsidR="00341CF8">
        <w:rPr>
          <w:i/>
          <w:iCs/>
        </w:rPr>
        <w:t xml:space="preserve"> as constructed </w:t>
      </w:r>
      <w:r w:rsidRPr="00606827">
        <w:rPr>
          <w:i/>
          <w:iCs/>
        </w:rPr>
        <w:t xml:space="preserve"> ‘</w:t>
      </w:r>
      <w:r w:rsidR="00D03B92">
        <w:rPr>
          <w:i/>
          <w:iCs/>
        </w:rPr>
        <w:t>f</w:t>
      </w:r>
      <w:r w:rsidRPr="00606827">
        <w:rPr>
          <w:i/>
          <w:iCs/>
        </w:rPr>
        <w:t>ederated</w:t>
      </w:r>
      <w:r w:rsidR="00606827" w:rsidRPr="00606827">
        <w:rPr>
          <w:i/>
          <w:iCs/>
        </w:rPr>
        <w:t>’</w:t>
      </w:r>
      <w:r w:rsidRPr="00606827">
        <w:rPr>
          <w:i/>
          <w:iCs/>
        </w:rPr>
        <w:t xml:space="preserve"> 3D Model </w:t>
      </w:r>
      <w:r w:rsidR="00606827" w:rsidRPr="00606827">
        <w:rPr>
          <w:i/>
          <w:iCs/>
        </w:rPr>
        <w:t>(ie includes all major variation changes during construction) for DIT Completion Documents</w:t>
      </w:r>
      <w:r w:rsidR="00606827" w:rsidRPr="00606827">
        <w:rPr>
          <w:i/>
          <w:iCs/>
          <w:highlight w:val="yellow"/>
        </w:rPr>
        <w:t>.</w:t>
      </w:r>
    </w:p>
    <w:p w14:paraId="4B5EF95D" w14:textId="77777777" w:rsidR="00C50E0B" w:rsidRDefault="00C50E0B">
      <w:pPr>
        <w:pStyle w:val="Heading2"/>
      </w:pPr>
      <w:bookmarkStart w:id="10" w:name="_Toc522510697"/>
      <w:bookmarkStart w:id="11" w:name="_Toc524436693"/>
      <w:bookmarkStart w:id="12" w:name="_Toc524436823"/>
      <w:bookmarkStart w:id="13" w:name="_Toc525991829"/>
      <w:bookmarkStart w:id="14" w:name="_Toc522510694"/>
      <w:bookmarkStart w:id="15" w:name="_Toc524436690"/>
      <w:bookmarkStart w:id="16" w:name="_Toc524436820"/>
      <w:bookmarkStart w:id="17" w:name="_Toc525991826"/>
      <w:r>
        <w:t>Building Certification</w:t>
      </w:r>
    </w:p>
    <w:p w14:paraId="58943706" w14:textId="6F90F333" w:rsidR="00F94F67" w:rsidRDefault="00F94F67" w:rsidP="00F87422">
      <w:pPr>
        <w:spacing w:after="120"/>
      </w:pPr>
      <w:r>
        <w:t xml:space="preserve">The guide note “Development Approval (G31)” clarifies the roles of the </w:t>
      </w:r>
      <w:r>
        <w:rPr>
          <w:i/>
          <w:iCs/>
        </w:rPr>
        <w:t>Consultant</w:t>
      </w:r>
      <w:r>
        <w:t xml:space="preserve"> and the Certifier. </w:t>
      </w:r>
      <w:r w:rsidRPr="00606827">
        <w:rPr>
          <w:i/>
          <w:iCs/>
        </w:rPr>
        <w:t>Refer</w:t>
      </w:r>
      <w:r>
        <w:t xml:space="preserve"> to Ministers Specification SA </w:t>
      </w:r>
      <w:r w:rsidR="00B55CE6">
        <w:t>“</w:t>
      </w:r>
      <w:r>
        <w:t>Upgrading health and safety in existing buildings</w:t>
      </w:r>
      <w:r w:rsidR="00B55CE6">
        <w:t>”</w:t>
      </w:r>
      <w:r>
        <w:t xml:space="preserve"> August 2017 </w:t>
      </w:r>
      <w:r w:rsidR="00B55CE6">
        <w:t>P</w:t>
      </w:r>
      <w:r>
        <w:t xml:space="preserve">art 5. </w:t>
      </w:r>
    </w:p>
    <w:p w14:paraId="03A46513" w14:textId="1DD2D0A7" w:rsidR="00BA1EE9" w:rsidRDefault="00BA1EE9" w:rsidP="00BA1EE9">
      <w:pPr>
        <w:pStyle w:val="Heading2"/>
      </w:pPr>
      <w:r>
        <w:t xml:space="preserve">Building Information Modelling (BIM) </w:t>
      </w:r>
    </w:p>
    <w:p w14:paraId="329A417F" w14:textId="562813E4" w:rsidR="00BA1EE9" w:rsidRPr="00D754F6" w:rsidRDefault="00BA1EE9" w:rsidP="00F87422">
      <w:pPr>
        <w:spacing w:after="120"/>
      </w:pPr>
      <w:r w:rsidRPr="005600BE">
        <w:t xml:space="preserve">All </w:t>
      </w:r>
      <w:r w:rsidR="007B7A77">
        <w:t xml:space="preserve">3D </w:t>
      </w:r>
      <w:r w:rsidRPr="005600BE">
        <w:t>B</w:t>
      </w:r>
      <w:r w:rsidR="007B7A77">
        <w:t xml:space="preserve">uilding Information Modelling to be </w:t>
      </w:r>
      <w:r w:rsidRPr="005600BE">
        <w:t xml:space="preserve">undertaken in accordance with </w:t>
      </w:r>
      <w:r w:rsidRPr="00474E05">
        <w:t xml:space="preserve">following </w:t>
      </w:r>
      <w:r w:rsidR="00FA231C">
        <w:t>Department</w:t>
      </w:r>
      <w:r w:rsidR="00FA231C" w:rsidRPr="00474E05">
        <w:t xml:space="preserve"> </w:t>
      </w:r>
      <w:r w:rsidRPr="00474E05">
        <w:t xml:space="preserve">BIM </w:t>
      </w:r>
      <w:r w:rsidR="00B55CE6">
        <w:t>g</w:t>
      </w:r>
      <w:r w:rsidRPr="00474E05">
        <w:t>uide notes and requirements.</w:t>
      </w:r>
    </w:p>
    <w:p w14:paraId="0135A6ED" w14:textId="550DC4C1" w:rsidR="00DD5CE8" w:rsidRDefault="00DD5CE8" w:rsidP="00606827">
      <w:pPr>
        <w:pStyle w:val="ListParagraph"/>
        <w:numPr>
          <w:ilvl w:val="0"/>
          <w:numId w:val="15"/>
        </w:numPr>
        <w:shd w:val="clear" w:color="auto" w:fill="FFFFCC"/>
        <w:spacing w:after="120"/>
        <w:contextualSpacing w:val="0"/>
        <w:rPr>
          <w:i/>
          <w:iCs/>
        </w:rPr>
      </w:pPr>
      <w:r w:rsidRPr="00606827">
        <w:rPr>
          <w:i/>
          <w:iCs/>
        </w:rPr>
        <w:t xml:space="preserve">Building Information Modelling Exchange </w:t>
      </w:r>
      <w:r w:rsidRPr="009C3276">
        <w:rPr>
          <w:rFonts w:cs="Times New Roman"/>
          <w:bCs/>
          <w:szCs w:val="20"/>
        </w:rPr>
        <w:t>Information R</w:t>
      </w:r>
      <w:r w:rsidRPr="00606827">
        <w:rPr>
          <w:i/>
          <w:iCs/>
        </w:rPr>
        <w:t>equirements</w:t>
      </w:r>
      <w:r w:rsidR="00D03B92">
        <w:rPr>
          <w:i/>
          <w:iCs/>
        </w:rPr>
        <w:t xml:space="preserve"> (EIR)</w:t>
      </w:r>
      <w:r w:rsidRPr="00606827">
        <w:rPr>
          <w:i/>
          <w:iCs/>
        </w:rPr>
        <w:t xml:space="preserve"> </w:t>
      </w:r>
    </w:p>
    <w:p w14:paraId="647FF53F" w14:textId="77777777" w:rsidR="007341C9" w:rsidRPr="00D754F6" w:rsidRDefault="007341C9" w:rsidP="007341C9">
      <w:pPr>
        <w:pStyle w:val="ListParagraph"/>
        <w:numPr>
          <w:ilvl w:val="0"/>
          <w:numId w:val="15"/>
        </w:numPr>
        <w:spacing w:after="120"/>
        <w:contextualSpacing w:val="0"/>
      </w:pPr>
      <w:r w:rsidRPr="00D754F6">
        <w:t xml:space="preserve">Building Information Modelling - Core Brief (232) </w:t>
      </w:r>
    </w:p>
    <w:p w14:paraId="1BF04B47" w14:textId="77777777" w:rsidR="007341C9" w:rsidRPr="00606827" w:rsidRDefault="007341C9" w:rsidP="007341C9">
      <w:pPr>
        <w:pStyle w:val="ListParagraph"/>
        <w:numPr>
          <w:ilvl w:val="0"/>
          <w:numId w:val="15"/>
        </w:numPr>
        <w:spacing w:after="120"/>
        <w:contextualSpacing w:val="0"/>
      </w:pPr>
      <w:r w:rsidRPr="00182A79">
        <w:t xml:space="preserve">Building Information Modelling Requirements (G168) </w:t>
      </w:r>
    </w:p>
    <w:p w14:paraId="27732247" w14:textId="0D2A9F9D" w:rsidR="007341C9" w:rsidRDefault="007341C9" w:rsidP="00606827">
      <w:pPr>
        <w:pStyle w:val="ListParagraph"/>
        <w:numPr>
          <w:ilvl w:val="0"/>
          <w:numId w:val="15"/>
        </w:numPr>
        <w:shd w:val="clear" w:color="auto" w:fill="FFFFCC"/>
        <w:spacing w:after="120"/>
        <w:contextualSpacing w:val="0"/>
        <w:rPr>
          <w:i/>
          <w:iCs/>
        </w:rPr>
      </w:pPr>
      <w:r>
        <w:rPr>
          <w:i/>
          <w:iCs/>
        </w:rPr>
        <w:t>Project Reviews (G29)</w:t>
      </w:r>
    </w:p>
    <w:p w14:paraId="55B0BC80" w14:textId="77777777" w:rsidR="00720885" w:rsidRDefault="00720885" w:rsidP="00720885">
      <w:pPr>
        <w:pStyle w:val="Heading2"/>
      </w:pPr>
      <w:r>
        <w:t>Completion Documents</w:t>
      </w:r>
    </w:p>
    <w:p w14:paraId="3EE5492C" w14:textId="3F1EABCF" w:rsidR="00720885" w:rsidRDefault="00720885" w:rsidP="00F87422">
      <w:pPr>
        <w:spacing w:after="120"/>
      </w:pPr>
      <w:r w:rsidRPr="00720885">
        <w:t xml:space="preserve">As part of Design, Documentation and Tender </w:t>
      </w:r>
      <w:r w:rsidR="00932964">
        <w:t>s</w:t>
      </w:r>
      <w:r w:rsidRPr="00720885">
        <w:t xml:space="preserve">ervices (Part 2), the </w:t>
      </w:r>
      <w:r w:rsidRPr="00F87422">
        <w:rPr>
          <w:i/>
        </w:rPr>
        <w:t>Consultant</w:t>
      </w:r>
      <w:r w:rsidRPr="00720885">
        <w:t xml:space="preserve"> shall </w:t>
      </w:r>
      <w:r w:rsidR="003C3BE6">
        <w:t>comply with “</w:t>
      </w:r>
      <w:r w:rsidR="003C3BE6" w:rsidRPr="00051838">
        <w:t>Documentation for Project Completion</w:t>
      </w:r>
      <w:r w:rsidR="003C3BE6" w:rsidRPr="00720885" w:rsidDel="00A66153">
        <w:t xml:space="preserve"> </w:t>
      </w:r>
      <w:r w:rsidR="003C3BE6">
        <w:t>(</w:t>
      </w:r>
      <w:r w:rsidR="003C3BE6" w:rsidRPr="00051838">
        <w:t>G178</w:t>
      </w:r>
      <w:r w:rsidR="003C3BE6">
        <w:t>)</w:t>
      </w:r>
      <w:r w:rsidR="00D478C1">
        <w:t>”</w:t>
      </w:r>
      <w:r w:rsidR="003C3BE6">
        <w:t xml:space="preserve"> in the compilation of </w:t>
      </w:r>
      <w:r w:rsidRPr="00720885">
        <w:t xml:space="preserve">maintenance and operations manual checklists (otherwise known as the Required Documents lists) by using BPIMS to develop the checklists and inserting both checklists into section 6 of the </w:t>
      </w:r>
      <w:r w:rsidR="00FA231C">
        <w:t>Department</w:t>
      </w:r>
      <w:r w:rsidR="00FA231C" w:rsidRPr="00720885">
        <w:t xml:space="preserve"> </w:t>
      </w:r>
      <w:r w:rsidRPr="00720885">
        <w:t>amended NATSPEC General Requirements work section, or as an appendix</w:t>
      </w:r>
      <w:r w:rsidR="003C3BE6">
        <w:t>.</w:t>
      </w:r>
    </w:p>
    <w:p w14:paraId="02163B0A" w14:textId="77777777" w:rsidR="00C50E0B" w:rsidRDefault="00C50E0B">
      <w:pPr>
        <w:pStyle w:val="Heading2"/>
      </w:pPr>
      <w:r>
        <w:lastRenderedPageBreak/>
        <w:t>Construction Detailing and Site Inspection Guide</w:t>
      </w:r>
    </w:p>
    <w:p w14:paraId="29E3A542" w14:textId="77777777" w:rsidR="00C50E0B" w:rsidRDefault="00C50E0B" w:rsidP="00F87422">
      <w:pPr>
        <w:spacing w:after="120"/>
      </w:pPr>
      <w:r>
        <w:t>Th</w:t>
      </w:r>
      <w:r w:rsidR="00966A7E">
        <w:t>e</w:t>
      </w:r>
      <w:r>
        <w:t xml:space="preserve"> guide note </w:t>
      </w:r>
      <w:r w:rsidR="00966A7E">
        <w:t xml:space="preserve">“Construction Detailing and Site Inspection </w:t>
      </w:r>
      <w:r w:rsidR="00966A7E" w:rsidRPr="00794C42">
        <w:t xml:space="preserve">Guide (G16)” </w:t>
      </w:r>
      <w:r w:rsidRPr="00794C42">
        <w:t>is a</w:t>
      </w:r>
      <w:r>
        <w:t xml:space="preserve"> checklist of constructability and construction quality issues which the </w:t>
      </w:r>
      <w:r>
        <w:rPr>
          <w:i/>
          <w:iCs/>
        </w:rPr>
        <w:t>Consultant</w:t>
      </w:r>
      <w:r>
        <w:t xml:space="preserve"> should review during design and site inspection of the Works.</w:t>
      </w:r>
    </w:p>
    <w:p w14:paraId="1D47986B" w14:textId="77777777" w:rsidR="00C50E0B" w:rsidRDefault="00C50E0B">
      <w:pPr>
        <w:pStyle w:val="Heading2"/>
      </w:pPr>
      <w:r>
        <w:t>Construction Contract Documentation</w:t>
      </w:r>
      <w:bookmarkEnd w:id="10"/>
      <w:bookmarkEnd w:id="11"/>
      <w:bookmarkEnd w:id="12"/>
      <w:bookmarkEnd w:id="13"/>
    </w:p>
    <w:p w14:paraId="5EAEF744" w14:textId="77777777" w:rsidR="00C50E0B" w:rsidRDefault="00C50E0B" w:rsidP="00474E05">
      <w:pPr>
        <w:spacing w:after="120"/>
      </w:pPr>
      <w:r>
        <w:t xml:space="preserve">The </w:t>
      </w:r>
      <w:r>
        <w:rPr>
          <w:i/>
          <w:iCs/>
        </w:rPr>
        <w:t>Consultant</w:t>
      </w:r>
      <w:r>
        <w:t xml:space="preserve"> shall prepare documents for the construction </w:t>
      </w:r>
      <w:r w:rsidRPr="00794C42">
        <w:t>contract in accordance with the guide note “Construction Contract Tender Documen</w:t>
      </w:r>
      <w:r w:rsidRPr="002A14DD">
        <w:t>ts Format (G4)”.</w:t>
      </w:r>
    </w:p>
    <w:p w14:paraId="7950E6F5" w14:textId="77777777" w:rsidR="00C50E0B" w:rsidRDefault="00C50E0B">
      <w:pPr>
        <w:pStyle w:val="Heading2"/>
      </w:pPr>
      <w:r>
        <w:t>Construction Site Visits</w:t>
      </w:r>
    </w:p>
    <w:p w14:paraId="2FB93D7D" w14:textId="77777777" w:rsidR="00C50E0B" w:rsidRDefault="00C50E0B" w:rsidP="00474E05">
      <w:pPr>
        <w:spacing w:after="120"/>
      </w:pPr>
      <w:r>
        <w:t xml:space="preserve">The </w:t>
      </w:r>
      <w:r>
        <w:rPr>
          <w:i/>
          <w:iCs/>
        </w:rPr>
        <w:t>Consultant</w:t>
      </w:r>
      <w:r>
        <w:t xml:space="preserve"> shall visit the construction site in accordance with the guide note “Construction Site Visits</w:t>
      </w:r>
      <w:r w:rsidR="00966A7E">
        <w:t xml:space="preserve"> (G18)</w:t>
      </w:r>
      <w:r>
        <w:t>”</w:t>
      </w:r>
      <w:r w:rsidR="00A27BE0">
        <w:t xml:space="preserve"> and as directed by the Contractor</w:t>
      </w:r>
      <w:r>
        <w:t>.</w:t>
      </w:r>
    </w:p>
    <w:p w14:paraId="7078C13E" w14:textId="77777777" w:rsidR="00C50E0B" w:rsidRDefault="00C50E0B">
      <w:pPr>
        <w:pStyle w:val="Heading2"/>
      </w:pPr>
      <w:r>
        <w:t>Cost Management</w:t>
      </w:r>
    </w:p>
    <w:p w14:paraId="639A69BF" w14:textId="77777777" w:rsidR="00C50E0B" w:rsidRDefault="00C12A63" w:rsidP="00F87422">
      <w:pPr>
        <w:spacing w:after="120"/>
      </w:pPr>
      <w:r>
        <w:t xml:space="preserve">The guide note “Cost Management Reporting (G40)” </w:t>
      </w:r>
      <w:r w:rsidR="00C50E0B">
        <w:t>advise</w:t>
      </w:r>
      <w:r>
        <w:t>s</w:t>
      </w:r>
      <w:r w:rsidR="00C50E0B">
        <w:t xml:space="preserve"> on the format and required detail for cost ma</w:t>
      </w:r>
      <w:r>
        <w:t>nagement reports and the like.</w:t>
      </w:r>
    </w:p>
    <w:p w14:paraId="35D7B8E7" w14:textId="77777777" w:rsidR="00D82FAD" w:rsidRDefault="00D82FAD" w:rsidP="00D82FAD">
      <w:pPr>
        <w:pStyle w:val="Heading2"/>
      </w:pPr>
      <w:r>
        <w:t>Critical Work Plans (CWPs)</w:t>
      </w:r>
    </w:p>
    <w:p w14:paraId="2FDD3AB4" w14:textId="77777777" w:rsidR="00D82FAD" w:rsidRPr="00930C2D" w:rsidRDefault="00D82FAD" w:rsidP="00F87422">
      <w:pPr>
        <w:spacing w:after="120"/>
      </w:pPr>
      <w:r>
        <w:t xml:space="preserve">The guide note “Critical Work Plans” (G169) describes the requirements in carefully planning and documenting operations that are high or catastrophic risk, with consultation and approval from all relevant stakeholders.  The Consultant’s role is to </w:t>
      </w:r>
      <w:proofErr w:type="gramStart"/>
      <w:r>
        <w:t>provide assistance</w:t>
      </w:r>
      <w:proofErr w:type="gramEnd"/>
      <w:r>
        <w:t xml:space="preserve"> in identifying such risky operations and then to review CWP’s that have been prepared by the Contractor.</w:t>
      </w:r>
    </w:p>
    <w:p w14:paraId="61F15169" w14:textId="77777777" w:rsidR="00C50E0B" w:rsidRDefault="00C50E0B">
      <w:pPr>
        <w:pStyle w:val="Heading2"/>
      </w:pPr>
      <w:bookmarkStart w:id="18" w:name="_Toc522510695"/>
      <w:bookmarkStart w:id="19" w:name="_Toc524436691"/>
      <w:bookmarkStart w:id="20" w:name="_Toc524436821"/>
      <w:bookmarkStart w:id="21" w:name="_Toc525991827"/>
      <w:bookmarkEnd w:id="14"/>
      <w:bookmarkEnd w:id="15"/>
      <w:bookmarkEnd w:id="16"/>
      <w:bookmarkEnd w:id="17"/>
      <w:r>
        <w:t>Design Review Process</w:t>
      </w:r>
    </w:p>
    <w:p w14:paraId="3C1A3CCF" w14:textId="0861136D" w:rsidR="00F94F67" w:rsidRDefault="00F94F67" w:rsidP="00474E05">
      <w:pPr>
        <w:spacing w:after="120"/>
      </w:pPr>
      <w:r>
        <w:t xml:space="preserve">The </w:t>
      </w:r>
      <w:r>
        <w:rPr>
          <w:i/>
          <w:iCs/>
        </w:rPr>
        <w:t>Consultant</w:t>
      </w:r>
      <w:r>
        <w:t xml:space="preserve"> shall refer to the guide note “Design Review Process (G28)” and shall address all issues listed in the design review report prepared at the end of Concept, Design and Documentation phases and as identified in Schedule 5: Services Matrix. Design teams shall </w:t>
      </w:r>
      <w:proofErr w:type="gramStart"/>
      <w:r>
        <w:t>make contact with</w:t>
      </w:r>
      <w:proofErr w:type="gramEnd"/>
      <w:r>
        <w:t xml:space="preserve"> </w:t>
      </w:r>
      <w:r w:rsidR="00070193">
        <w:t xml:space="preserve">the nominated </w:t>
      </w:r>
      <w:r w:rsidR="00FA231C">
        <w:t xml:space="preserve">Department </w:t>
      </w:r>
      <w:r w:rsidR="00070193">
        <w:t>c</w:t>
      </w:r>
      <w:r>
        <w:t xml:space="preserve">onstruction </w:t>
      </w:r>
      <w:r w:rsidR="00F64130">
        <w:t>adviser</w:t>
      </w:r>
      <w:r>
        <w:t xml:space="preserve"> </w:t>
      </w:r>
      <w:r w:rsidR="009E01FE">
        <w:t xml:space="preserve">(via the </w:t>
      </w:r>
      <w:r w:rsidR="00FA231C">
        <w:t xml:space="preserve">Department </w:t>
      </w:r>
      <w:r w:rsidR="009D2E43">
        <w:t>p</w:t>
      </w:r>
      <w:r w:rsidR="009E01FE">
        <w:t xml:space="preserve">roject </w:t>
      </w:r>
      <w:r w:rsidR="009D2E43">
        <w:t>m</w:t>
      </w:r>
      <w:r w:rsidR="009E01FE">
        <w:t xml:space="preserve">anager) </w:t>
      </w:r>
      <w:r>
        <w:t xml:space="preserve">to provide progressive reviews at </w:t>
      </w:r>
      <w:r w:rsidR="009E01FE">
        <w:t xml:space="preserve">agreed points, nominally </w:t>
      </w:r>
      <w:r>
        <w:t>40%, 60% and tender release documents.</w:t>
      </w:r>
      <w:r w:rsidR="007B7A77">
        <w:t xml:space="preserve"> </w:t>
      </w:r>
    </w:p>
    <w:p w14:paraId="336DD2E6" w14:textId="77777777" w:rsidR="00C50E0B" w:rsidRDefault="00C50E0B">
      <w:pPr>
        <w:pStyle w:val="Heading2"/>
      </w:pPr>
      <w:r>
        <w:t>Development Approval</w:t>
      </w:r>
      <w:bookmarkEnd w:id="18"/>
      <w:bookmarkEnd w:id="19"/>
      <w:bookmarkEnd w:id="20"/>
      <w:bookmarkEnd w:id="21"/>
    </w:p>
    <w:p w14:paraId="174086CB" w14:textId="327B9725" w:rsidR="00C50E0B" w:rsidRDefault="00FA231C" w:rsidP="00474E05">
      <w:pPr>
        <w:spacing w:after="120"/>
      </w:pPr>
      <w:r>
        <w:t xml:space="preserve">The Department </w:t>
      </w:r>
      <w:r w:rsidR="00C50E0B">
        <w:t xml:space="preserve">procedures </w:t>
      </w:r>
      <w:r w:rsidR="00A21CEA">
        <w:t>shall</w:t>
      </w:r>
      <w:r w:rsidR="00C50E0B">
        <w:t xml:space="preserve"> be followed when the project reaches the development and certification stages</w:t>
      </w:r>
      <w:r w:rsidR="00A21CEA">
        <w:t xml:space="preserve"> in accordance with</w:t>
      </w:r>
      <w:r w:rsidR="00C50E0B">
        <w:t xml:space="preserve"> the guide note “Development Approval (G31)”.</w:t>
      </w:r>
    </w:p>
    <w:p w14:paraId="217FDDEF" w14:textId="737E9BFE" w:rsidR="00C50E0B" w:rsidRDefault="00C50E0B">
      <w:pPr>
        <w:pStyle w:val="Heading2"/>
      </w:pPr>
      <w:bookmarkStart w:id="22" w:name="_Toc522510696"/>
      <w:bookmarkStart w:id="23" w:name="_Toc524436692"/>
      <w:bookmarkStart w:id="24" w:name="_Toc524436822"/>
      <w:bookmarkStart w:id="25" w:name="_Toc525991828"/>
      <w:bookmarkStart w:id="26" w:name="_Toc521840907"/>
      <w:r>
        <w:t>Dispute Resolution</w:t>
      </w:r>
      <w:bookmarkEnd w:id="22"/>
      <w:bookmarkEnd w:id="23"/>
      <w:bookmarkEnd w:id="24"/>
      <w:bookmarkEnd w:id="25"/>
    </w:p>
    <w:p w14:paraId="4171D88A" w14:textId="321B8BF0" w:rsidR="00C50E0B" w:rsidRDefault="00C50E0B" w:rsidP="00474E05">
      <w:pPr>
        <w:spacing w:after="120"/>
      </w:pPr>
      <w:r>
        <w:t xml:space="preserve">The guide note “AS2124 Administration of Disputes (G22)” gives background and detail to the role and its delivery as required by </w:t>
      </w:r>
      <w:r w:rsidR="00FA231C">
        <w:t>the Department</w:t>
      </w:r>
      <w:r>
        <w:t>, particularly in the circumstances of a dispute. The guide note “AS2124 Dispute resolution (G20)” gives a flow chart of the process and helpful notes.</w:t>
      </w:r>
    </w:p>
    <w:p w14:paraId="478D013F" w14:textId="77777777" w:rsidR="00C50E0B" w:rsidRDefault="00C50E0B">
      <w:pPr>
        <w:pStyle w:val="Heading2"/>
      </w:pPr>
      <w:bookmarkStart w:id="27" w:name="_Toc522510698"/>
      <w:bookmarkStart w:id="28" w:name="_Toc524436694"/>
      <w:bookmarkStart w:id="29" w:name="_Toc524436824"/>
      <w:bookmarkStart w:id="30" w:name="_Toc525991830"/>
      <w:bookmarkStart w:id="31" w:name="_Toc521840914"/>
      <w:bookmarkStart w:id="32" w:name="_Toc521840916"/>
      <w:bookmarkStart w:id="33" w:name="_Toc521840908"/>
      <w:bookmarkEnd w:id="26"/>
      <w:r>
        <w:t xml:space="preserve">Earthquake </w:t>
      </w:r>
      <w:bookmarkEnd w:id="27"/>
      <w:bookmarkEnd w:id="28"/>
      <w:bookmarkEnd w:id="29"/>
      <w:bookmarkEnd w:id="30"/>
      <w:r w:rsidR="000C4C93">
        <w:t>Issues</w:t>
      </w:r>
    </w:p>
    <w:bookmarkEnd w:id="31"/>
    <w:p w14:paraId="0775A2EF" w14:textId="25DD1E78" w:rsidR="00C50E0B" w:rsidRDefault="00FA231C" w:rsidP="00474E05">
      <w:pPr>
        <w:spacing w:after="120"/>
      </w:pPr>
      <w:r>
        <w:t xml:space="preserve">The Department </w:t>
      </w:r>
      <w:r w:rsidR="00C50E0B">
        <w:t xml:space="preserve">has prepared advice on the issues that must be considered in regard to the impact of earthquake on buildings during the design phase. Refer to the </w:t>
      </w:r>
      <w:r w:rsidR="008678EF">
        <w:t>policy</w:t>
      </w:r>
      <w:r w:rsidR="00C50E0B">
        <w:t xml:space="preserve"> “Strengthening Existing Buildings for Earthquakes (</w:t>
      </w:r>
      <w:r w:rsidR="008E7EEA">
        <w:t>PO45</w:t>
      </w:r>
      <w:r w:rsidR="00C50E0B">
        <w:t>)”.</w:t>
      </w:r>
      <w:r w:rsidR="00F94F67">
        <w:t xml:space="preserve"> Importance Level 4 projects must seek advice from </w:t>
      </w:r>
      <w:r>
        <w:t xml:space="preserve">the Department </w:t>
      </w:r>
      <w:r w:rsidR="00F94F67">
        <w:t>Professional &amp; Advisory Services manager</w:t>
      </w:r>
      <w:r w:rsidR="009E01FE">
        <w:t xml:space="preserve"> (via the </w:t>
      </w:r>
      <w:r>
        <w:t xml:space="preserve">Department </w:t>
      </w:r>
      <w:r w:rsidR="0029090E">
        <w:t>p</w:t>
      </w:r>
      <w:r w:rsidR="009E01FE">
        <w:t xml:space="preserve">roject </w:t>
      </w:r>
      <w:r w:rsidR="0029090E">
        <w:t>m</w:t>
      </w:r>
      <w:r w:rsidR="009E01FE">
        <w:t>anager)</w:t>
      </w:r>
      <w:r w:rsidR="00F94F67">
        <w:t xml:space="preserve">. Refer to Ministers Specification SA </w:t>
      </w:r>
      <w:r w:rsidR="0029090E">
        <w:t>“</w:t>
      </w:r>
      <w:r w:rsidR="00F94F67">
        <w:t>Upgrading health and safety in existing buildings</w:t>
      </w:r>
      <w:r w:rsidR="0029090E">
        <w:t>”</w:t>
      </w:r>
      <w:r w:rsidR="00F94F67">
        <w:t xml:space="preserve"> August 2017 </w:t>
      </w:r>
      <w:r w:rsidR="00A21CEA">
        <w:t>P</w:t>
      </w:r>
      <w:r w:rsidR="00F94F67">
        <w:t>art</w:t>
      </w:r>
      <w:r w:rsidR="00A21CEA">
        <w:t xml:space="preserve"> </w:t>
      </w:r>
      <w:r w:rsidR="00F94F67">
        <w:t xml:space="preserve">2, </w:t>
      </w:r>
      <w:r w:rsidR="00A21CEA">
        <w:t>A</w:t>
      </w:r>
      <w:r w:rsidR="00F94F67">
        <w:t>ppendix A.</w:t>
      </w:r>
    </w:p>
    <w:p w14:paraId="46F86485" w14:textId="77777777" w:rsidR="00C50E0B" w:rsidRDefault="00C50E0B">
      <w:pPr>
        <w:pStyle w:val="Heading2"/>
      </w:pPr>
      <w:bookmarkStart w:id="34" w:name="_Toc521840928"/>
      <w:bookmarkStart w:id="35" w:name="_Toc522510699"/>
      <w:bookmarkStart w:id="36" w:name="_Toc524436695"/>
      <w:bookmarkStart w:id="37" w:name="_Toc524436825"/>
      <w:bookmarkStart w:id="38" w:name="_Toc525991831"/>
      <w:r>
        <w:lastRenderedPageBreak/>
        <w:t>Ecologically Sustainable Development (ESD) Planning and Design</w:t>
      </w:r>
    </w:p>
    <w:p w14:paraId="423516E9" w14:textId="5FD34705" w:rsidR="00C50E0B" w:rsidRDefault="00C50E0B" w:rsidP="00474E05">
      <w:pPr>
        <w:spacing w:after="120"/>
      </w:pPr>
      <w:r>
        <w:t xml:space="preserve">Government has a policy in regard to ESD. The </w:t>
      </w:r>
      <w:r>
        <w:rPr>
          <w:i/>
          <w:iCs/>
        </w:rPr>
        <w:t>Consultant</w:t>
      </w:r>
      <w:r>
        <w:t xml:space="preserve"> shall plan and design the asset in accordance with the guide note “Ecologically Sustainable Development Planning, Design and Delivery (G44)”.</w:t>
      </w:r>
    </w:p>
    <w:p w14:paraId="3166A4A7" w14:textId="77777777" w:rsidR="00C13459" w:rsidRDefault="00C13459" w:rsidP="00C13459">
      <w:pPr>
        <w:pStyle w:val="Heading2"/>
      </w:pPr>
      <w:r>
        <w:t>Electrical Cable Jointing</w:t>
      </w:r>
    </w:p>
    <w:p w14:paraId="49C75BA1" w14:textId="27C953CC" w:rsidR="00C13459" w:rsidRPr="002F1C48" w:rsidRDefault="00C13459" w:rsidP="00F87422">
      <w:pPr>
        <w:spacing w:after="120"/>
      </w:pPr>
      <w:r>
        <w:t xml:space="preserve">The guide note “Electrical Cable Jointing </w:t>
      </w:r>
      <w:r w:rsidRPr="000D7EC1">
        <w:t>(G175)</w:t>
      </w:r>
      <w:r w:rsidR="00A21CEA">
        <w:t>”</w:t>
      </w:r>
      <w:r>
        <w:t xml:space="preserve"> specifies requirements for jointing of major electrical cables when full replacement is not possible</w:t>
      </w:r>
      <w:r w:rsidR="00DE1B64">
        <w:t>.</w:t>
      </w:r>
    </w:p>
    <w:p w14:paraId="4D501A30" w14:textId="77777777" w:rsidR="00C50E0B" w:rsidRDefault="00C50E0B">
      <w:pPr>
        <w:pStyle w:val="Heading2"/>
      </w:pPr>
      <w:r>
        <w:t>Electronic D</w:t>
      </w:r>
      <w:r w:rsidR="00C12A63">
        <w:t>ocument Requirements</w:t>
      </w:r>
    </w:p>
    <w:p w14:paraId="15097F87" w14:textId="4A680235" w:rsidR="00C50E0B" w:rsidRDefault="00C50E0B" w:rsidP="00474E05">
      <w:pPr>
        <w:spacing w:after="120"/>
      </w:pPr>
      <w:r>
        <w:t xml:space="preserve">The </w:t>
      </w:r>
      <w:r>
        <w:rPr>
          <w:i/>
          <w:iCs/>
        </w:rPr>
        <w:t>Consultant</w:t>
      </w:r>
      <w:r>
        <w:t xml:space="preserve"> shall prepare all drawings for the construction contract and for future asset management in accordance with the guide note “Electronic D</w:t>
      </w:r>
      <w:r w:rsidR="008E7EEA">
        <w:t xml:space="preserve">ocument </w:t>
      </w:r>
      <w:r w:rsidR="008E7EEA" w:rsidRPr="00794C42">
        <w:t>Requirements</w:t>
      </w:r>
      <w:r w:rsidRPr="00794C42">
        <w:t xml:space="preserve"> (G65)”.</w:t>
      </w:r>
    </w:p>
    <w:p w14:paraId="286E1A96" w14:textId="77777777" w:rsidR="00C50E0B" w:rsidRDefault="008B0E9D">
      <w:pPr>
        <w:pStyle w:val="Heading2"/>
      </w:pPr>
      <w:r>
        <w:t>Government Buildings Energy Strategy</w:t>
      </w:r>
    </w:p>
    <w:p w14:paraId="22FEBD58" w14:textId="73A91530" w:rsidR="00C50E0B" w:rsidRDefault="00F82DF0" w:rsidP="00F87422">
      <w:pPr>
        <w:spacing w:after="120"/>
      </w:pPr>
      <w:r>
        <w:t xml:space="preserve">The </w:t>
      </w:r>
      <w:r>
        <w:rPr>
          <w:i/>
          <w:iCs/>
        </w:rPr>
        <w:t>Consultant</w:t>
      </w:r>
      <w:r>
        <w:t xml:space="preserve"> </w:t>
      </w:r>
      <w:r w:rsidR="00016DF7">
        <w:t>shall</w:t>
      </w:r>
      <w:r>
        <w:t xml:space="preserve"> meet the requirements of the Government Buildings Energy Strategy. Details are provided in the guide note “Government Buildings Energy Strategy (</w:t>
      </w:r>
      <w:r w:rsidR="00E05068">
        <w:t>PO44</w:t>
      </w:r>
      <w:r>
        <w:t>)”.</w:t>
      </w:r>
    </w:p>
    <w:p w14:paraId="21B28C12" w14:textId="77777777" w:rsidR="00C50E0B" w:rsidRDefault="00C50E0B">
      <w:pPr>
        <w:pStyle w:val="Heading2"/>
      </w:pPr>
      <w:r>
        <w:t>Existing Trees</w:t>
      </w:r>
    </w:p>
    <w:p w14:paraId="59B463BB" w14:textId="77777777" w:rsidR="00C50E0B" w:rsidRDefault="00C50E0B" w:rsidP="00F87422">
      <w:pPr>
        <w:spacing w:after="120"/>
      </w:pPr>
      <w:r>
        <w:t xml:space="preserve">Where there are large trees on the proposed building site the </w:t>
      </w:r>
      <w:r>
        <w:rPr>
          <w:i/>
          <w:iCs/>
        </w:rPr>
        <w:t>Consultant</w:t>
      </w:r>
      <w:r>
        <w:t xml:space="preserve"> shall refer to the guide note “Existing Trees (G33)”.</w:t>
      </w:r>
    </w:p>
    <w:p w14:paraId="7862EAED" w14:textId="77777777" w:rsidR="00966A7E" w:rsidRDefault="00966A7E" w:rsidP="00966A7E">
      <w:pPr>
        <w:pStyle w:val="Heading2"/>
      </w:pPr>
      <w:r>
        <w:t>Facilities Planning Study</w:t>
      </w:r>
    </w:p>
    <w:p w14:paraId="05DB78D1" w14:textId="77777777" w:rsidR="00966A7E" w:rsidRDefault="00966A7E" w:rsidP="00F87422">
      <w:pPr>
        <w:spacing w:after="120"/>
      </w:pPr>
      <w:r>
        <w:t>Where the consultant services are to prepare a facilities planning study refer to the guide note “Preparation of Facilities Planning Study (G63)”</w:t>
      </w:r>
      <w:r w:rsidR="00854D1A">
        <w:t>.</w:t>
      </w:r>
    </w:p>
    <w:p w14:paraId="4FB6A0FF" w14:textId="77777777" w:rsidR="00A0259E" w:rsidRDefault="00A0259E">
      <w:pPr>
        <w:pStyle w:val="Heading2"/>
      </w:pPr>
      <w:r>
        <w:t>In-Floor Electrical Services Boxes</w:t>
      </w:r>
    </w:p>
    <w:p w14:paraId="2C4B43E2" w14:textId="77777777" w:rsidR="00A0259E" w:rsidRDefault="00A0259E" w:rsidP="00474E05">
      <w:pPr>
        <w:pStyle w:val="DocumentContent"/>
        <w:keepNext/>
        <w:widowControl w:val="0"/>
      </w:pPr>
      <w:r>
        <w:t>Where in-</w:t>
      </w:r>
      <w:r w:rsidRPr="002B3E7C">
        <w:t xml:space="preserve">floor boxes </w:t>
      </w:r>
      <w:r>
        <w:t xml:space="preserve">for electrical services are used </w:t>
      </w:r>
      <w:r w:rsidRPr="002B3E7C">
        <w:t xml:space="preserve">on government </w:t>
      </w:r>
      <w:r>
        <w:t xml:space="preserve">building construction </w:t>
      </w:r>
      <w:r w:rsidRPr="002B3E7C">
        <w:t>projects</w:t>
      </w:r>
      <w:r>
        <w:t xml:space="preserve">, the </w:t>
      </w:r>
      <w:r w:rsidRPr="00A0259E">
        <w:rPr>
          <w:i/>
        </w:rPr>
        <w:t>Consultant</w:t>
      </w:r>
      <w:r>
        <w:t xml:space="preserve"> shall refer to the guide note “In-Floor Electrical Boxes (G167)”</w:t>
      </w:r>
      <w:r w:rsidRPr="002B3E7C">
        <w:t>.</w:t>
      </w:r>
    </w:p>
    <w:p w14:paraId="5E78087F" w14:textId="77777777" w:rsidR="00C50E0B" w:rsidRPr="00C3642E" w:rsidRDefault="00C50E0B">
      <w:pPr>
        <w:pStyle w:val="Heading2"/>
      </w:pPr>
      <w:r w:rsidRPr="00C3642E">
        <w:t>Hazardous Substances</w:t>
      </w:r>
      <w:bookmarkEnd w:id="34"/>
      <w:bookmarkEnd w:id="35"/>
      <w:bookmarkEnd w:id="36"/>
      <w:bookmarkEnd w:id="37"/>
      <w:bookmarkEnd w:id="38"/>
    </w:p>
    <w:p w14:paraId="3DEAD058" w14:textId="5687CBBB" w:rsidR="00C50E0B" w:rsidRPr="00C3642E" w:rsidRDefault="00C50E0B" w:rsidP="00F87422">
      <w:pPr>
        <w:spacing w:after="120"/>
      </w:pPr>
      <w:r w:rsidRPr="00C3642E">
        <w:t xml:space="preserve">An inspection report, management plan and register may be available for information and the </w:t>
      </w:r>
      <w:r w:rsidRPr="00C3642E">
        <w:rPr>
          <w:i/>
          <w:iCs/>
        </w:rPr>
        <w:t xml:space="preserve">Consultant </w:t>
      </w:r>
      <w:r w:rsidRPr="00C3642E">
        <w:t xml:space="preserve">shall make appropriate enquiries to the </w:t>
      </w:r>
      <w:r w:rsidR="00FA231C">
        <w:t>Department</w:t>
      </w:r>
      <w:r w:rsidR="00FA231C" w:rsidRPr="00C3642E">
        <w:t xml:space="preserve"> </w:t>
      </w:r>
      <w:r w:rsidRPr="00C3642E">
        <w:t xml:space="preserve">Project Manager. Prior to any considerations or work associated with hazardous substances contact the </w:t>
      </w:r>
      <w:r w:rsidR="00FA231C">
        <w:t>Department</w:t>
      </w:r>
      <w:r w:rsidR="00FA231C" w:rsidRPr="00C3642E">
        <w:t xml:space="preserve"> </w:t>
      </w:r>
      <w:r w:rsidRPr="00C3642E">
        <w:t>Asbestos Management Unit on 8226 4455.</w:t>
      </w:r>
    </w:p>
    <w:p w14:paraId="7447A27F" w14:textId="77777777" w:rsidR="00BE7E9E" w:rsidRDefault="00BE7E9E" w:rsidP="00BE7E9E">
      <w:pPr>
        <w:pStyle w:val="Heading2"/>
      </w:pPr>
      <w:bookmarkStart w:id="39" w:name="_Toc522510700"/>
      <w:bookmarkStart w:id="40" w:name="_Toc524436696"/>
      <w:bookmarkStart w:id="41" w:name="_Toc524436826"/>
      <w:bookmarkStart w:id="42" w:name="_Toc525991832"/>
      <w:r>
        <w:t>Health Assets Design</w:t>
      </w:r>
    </w:p>
    <w:p w14:paraId="1CBF7E00" w14:textId="329FB88D" w:rsidR="003A7F26" w:rsidRPr="002669AF" w:rsidRDefault="003A7F26" w:rsidP="00F87422">
      <w:pPr>
        <w:pStyle w:val="DocumentContent"/>
        <w:rPr>
          <w:szCs w:val="22"/>
        </w:rPr>
      </w:pPr>
      <w:r w:rsidRPr="00F573E7">
        <w:rPr>
          <w:szCs w:val="22"/>
        </w:rPr>
        <w:t xml:space="preserve">The Department </w:t>
      </w:r>
      <w:r w:rsidR="00287086">
        <w:rPr>
          <w:szCs w:val="22"/>
        </w:rPr>
        <w:t>for</w:t>
      </w:r>
      <w:r w:rsidRPr="00F573E7">
        <w:rPr>
          <w:szCs w:val="22"/>
        </w:rPr>
        <w:t xml:space="preserve"> Health and </w:t>
      </w:r>
      <w:r w:rsidR="00086385">
        <w:rPr>
          <w:szCs w:val="22"/>
        </w:rPr>
        <w:t>Wellbeing</w:t>
      </w:r>
      <w:r w:rsidRPr="00F573E7">
        <w:rPr>
          <w:szCs w:val="22"/>
        </w:rPr>
        <w:t xml:space="preserve"> </w:t>
      </w:r>
      <w:r w:rsidR="00D574A5">
        <w:rPr>
          <w:szCs w:val="22"/>
        </w:rPr>
        <w:t xml:space="preserve">and SA Health </w:t>
      </w:r>
      <w:r w:rsidRPr="00F573E7">
        <w:rPr>
          <w:szCs w:val="22"/>
        </w:rPr>
        <w:t>ha</w:t>
      </w:r>
      <w:r w:rsidR="00D574A5">
        <w:rPr>
          <w:szCs w:val="22"/>
        </w:rPr>
        <w:t>ve</w:t>
      </w:r>
      <w:r w:rsidRPr="00F573E7">
        <w:rPr>
          <w:szCs w:val="22"/>
        </w:rPr>
        <w:t xml:space="preserve"> specific requirements relating to asset management and building design</w:t>
      </w:r>
      <w:r w:rsidR="00D574A5">
        <w:rPr>
          <w:szCs w:val="22"/>
        </w:rPr>
        <w:t xml:space="preserve"> in accordance with the following documents:</w:t>
      </w:r>
    </w:p>
    <w:p w14:paraId="79519067" w14:textId="00070CC2" w:rsidR="003A7F26" w:rsidRPr="00F573E7" w:rsidRDefault="003A7F26" w:rsidP="00F87422">
      <w:pPr>
        <w:pStyle w:val="DocumentContent"/>
        <w:numPr>
          <w:ilvl w:val="0"/>
          <w:numId w:val="13"/>
        </w:numPr>
        <w:rPr>
          <w:szCs w:val="22"/>
        </w:rPr>
      </w:pPr>
      <w:r w:rsidRPr="00F573E7">
        <w:rPr>
          <w:bCs w:val="0"/>
          <w:color w:val="000000" w:themeColor="text1"/>
          <w:szCs w:val="22"/>
        </w:rPr>
        <w:t>Australian Health Facility Guidelines (AusHFGs</w:t>
      </w:r>
      <w:proofErr w:type="gramStart"/>
      <w:r w:rsidRPr="00F573E7">
        <w:rPr>
          <w:bCs w:val="0"/>
          <w:color w:val="000000" w:themeColor="text1"/>
          <w:szCs w:val="22"/>
        </w:rPr>
        <w:t>)</w:t>
      </w:r>
      <w:r w:rsidR="00D574A5">
        <w:rPr>
          <w:bCs w:val="0"/>
          <w:color w:val="000000" w:themeColor="text1"/>
          <w:szCs w:val="22"/>
        </w:rPr>
        <w:t>;</w:t>
      </w:r>
      <w:proofErr w:type="gramEnd"/>
    </w:p>
    <w:p w14:paraId="491DA76B" w14:textId="598A849D" w:rsidR="003A7F26" w:rsidRPr="00F573E7" w:rsidRDefault="003A7F26" w:rsidP="00F87422">
      <w:pPr>
        <w:pStyle w:val="DocumentContent"/>
        <w:numPr>
          <w:ilvl w:val="0"/>
          <w:numId w:val="13"/>
        </w:numPr>
        <w:rPr>
          <w:szCs w:val="22"/>
        </w:rPr>
      </w:pPr>
      <w:r w:rsidRPr="00F573E7">
        <w:rPr>
          <w:bCs w:val="0"/>
          <w:color w:val="000000" w:themeColor="text1"/>
          <w:szCs w:val="22"/>
        </w:rPr>
        <w:t xml:space="preserve">NSW Health Engineering Services </w:t>
      </w:r>
      <w:proofErr w:type="gramStart"/>
      <w:r w:rsidRPr="00F573E7">
        <w:rPr>
          <w:bCs w:val="0"/>
          <w:color w:val="000000" w:themeColor="text1"/>
          <w:szCs w:val="22"/>
        </w:rPr>
        <w:t>Guidelines</w:t>
      </w:r>
      <w:r w:rsidR="00D574A5">
        <w:rPr>
          <w:szCs w:val="22"/>
        </w:rPr>
        <w:t>;</w:t>
      </w:r>
      <w:proofErr w:type="gramEnd"/>
    </w:p>
    <w:p w14:paraId="11AC9235" w14:textId="6F27D583" w:rsidR="003A7F26" w:rsidRPr="00FA6EF5" w:rsidRDefault="003A7F26" w:rsidP="00F87422">
      <w:pPr>
        <w:pStyle w:val="DocumentContent"/>
        <w:numPr>
          <w:ilvl w:val="0"/>
          <w:numId w:val="13"/>
        </w:numPr>
        <w:rPr>
          <w:szCs w:val="22"/>
        </w:rPr>
      </w:pPr>
      <w:r w:rsidRPr="002669AF">
        <w:rPr>
          <w:szCs w:val="22"/>
        </w:rPr>
        <w:t xml:space="preserve">Guidelines for Legionella control in the operation and maintenance of water distribution systems in health and aged care </w:t>
      </w:r>
      <w:proofErr w:type="gramStart"/>
      <w:r w:rsidRPr="002669AF">
        <w:rPr>
          <w:szCs w:val="22"/>
        </w:rPr>
        <w:t>facilities</w:t>
      </w:r>
      <w:r w:rsidR="00D574A5">
        <w:rPr>
          <w:szCs w:val="22"/>
        </w:rPr>
        <w:t>;</w:t>
      </w:r>
      <w:proofErr w:type="gramEnd"/>
    </w:p>
    <w:p w14:paraId="2471C908" w14:textId="67CCFCDC" w:rsidR="003A7F26" w:rsidRPr="00F573E7" w:rsidRDefault="00D4431E" w:rsidP="00F87422">
      <w:pPr>
        <w:pStyle w:val="DocumentContent"/>
        <w:numPr>
          <w:ilvl w:val="0"/>
          <w:numId w:val="13"/>
        </w:numPr>
        <w:rPr>
          <w:bCs w:val="0"/>
          <w:color w:val="000000" w:themeColor="text1"/>
          <w:szCs w:val="22"/>
        </w:rPr>
      </w:pPr>
      <w:r>
        <w:rPr>
          <w:szCs w:val="22"/>
        </w:rPr>
        <w:t xml:space="preserve">In House Green Rating Tool (IGRAT) and associated </w:t>
      </w:r>
      <w:r w:rsidR="00AC5E42">
        <w:rPr>
          <w:szCs w:val="22"/>
        </w:rPr>
        <w:t xml:space="preserve">rating </w:t>
      </w:r>
      <w:proofErr w:type="gramStart"/>
      <w:r w:rsidR="00AC5E42">
        <w:rPr>
          <w:szCs w:val="22"/>
        </w:rPr>
        <w:t>process</w:t>
      </w:r>
      <w:r w:rsidR="00D574A5">
        <w:rPr>
          <w:szCs w:val="22"/>
        </w:rPr>
        <w:t>;</w:t>
      </w:r>
      <w:proofErr w:type="gramEnd"/>
    </w:p>
    <w:p w14:paraId="3C3A0036" w14:textId="36251ED5" w:rsidR="003A7F26" w:rsidRPr="00F573E7" w:rsidRDefault="003A7F26" w:rsidP="00F87422">
      <w:pPr>
        <w:pStyle w:val="DocumentContent"/>
        <w:numPr>
          <w:ilvl w:val="0"/>
          <w:numId w:val="13"/>
        </w:numPr>
        <w:rPr>
          <w:bCs w:val="0"/>
          <w:color w:val="000000" w:themeColor="text1"/>
          <w:szCs w:val="22"/>
        </w:rPr>
      </w:pPr>
      <w:r w:rsidRPr="00F573E7">
        <w:rPr>
          <w:bCs w:val="0"/>
          <w:color w:val="000000" w:themeColor="text1"/>
          <w:szCs w:val="22"/>
        </w:rPr>
        <w:t xml:space="preserve">SA Health – Security Service – Minimum </w:t>
      </w:r>
      <w:proofErr w:type="gramStart"/>
      <w:r w:rsidRPr="00F573E7">
        <w:rPr>
          <w:bCs w:val="0"/>
          <w:color w:val="000000" w:themeColor="text1"/>
          <w:szCs w:val="22"/>
        </w:rPr>
        <w:t>Specification</w:t>
      </w:r>
      <w:r w:rsidR="00D574A5">
        <w:rPr>
          <w:bCs w:val="0"/>
          <w:color w:val="000000" w:themeColor="text1"/>
          <w:szCs w:val="22"/>
        </w:rPr>
        <w:t>;</w:t>
      </w:r>
      <w:proofErr w:type="gramEnd"/>
    </w:p>
    <w:p w14:paraId="1826FC53" w14:textId="491CAAC5" w:rsidR="003A7F26" w:rsidRPr="00F573E7" w:rsidRDefault="003A7F26" w:rsidP="00F87422">
      <w:pPr>
        <w:pStyle w:val="DocumentContent"/>
        <w:numPr>
          <w:ilvl w:val="0"/>
          <w:numId w:val="13"/>
        </w:numPr>
        <w:rPr>
          <w:bCs w:val="0"/>
          <w:color w:val="000000" w:themeColor="text1"/>
          <w:szCs w:val="22"/>
        </w:rPr>
      </w:pPr>
      <w:r w:rsidRPr="00F573E7">
        <w:rPr>
          <w:bCs w:val="0"/>
          <w:color w:val="000000" w:themeColor="text1"/>
          <w:szCs w:val="22"/>
        </w:rPr>
        <w:t xml:space="preserve">SA Health – Protective Security </w:t>
      </w:r>
      <w:proofErr w:type="gramStart"/>
      <w:r w:rsidRPr="00F573E7">
        <w:rPr>
          <w:bCs w:val="0"/>
          <w:color w:val="000000" w:themeColor="text1"/>
          <w:szCs w:val="22"/>
        </w:rPr>
        <w:t>Plan</w:t>
      </w:r>
      <w:r w:rsidR="00D574A5">
        <w:rPr>
          <w:bCs w:val="0"/>
          <w:color w:val="000000" w:themeColor="text1"/>
          <w:szCs w:val="22"/>
        </w:rPr>
        <w:t>;</w:t>
      </w:r>
      <w:proofErr w:type="gramEnd"/>
    </w:p>
    <w:p w14:paraId="2AAAB46D" w14:textId="6BD015CA" w:rsidR="003A7F26" w:rsidRPr="00F573E7" w:rsidRDefault="003A7F26" w:rsidP="00F87422">
      <w:pPr>
        <w:pStyle w:val="DocumentContent"/>
        <w:numPr>
          <w:ilvl w:val="0"/>
          <w:numId w:val="13"/>
        </w:numPr>
        <w:rPr>
          <w:bCs w:val="0"/>
          <w:color w:val="000000" w:themeColor="text1"/>
          <w:szCs w:val="22"/>
        </w:rPr>
      </w:pPr>
      <w:r w:rsidRPr="00F573E7">
        <w:rPr>
          <w:bCs w:val="0"/>
          <w:color w:val="000000" w:themeColor="text1"/>
          <w:szCs w:val="22"/>
        </w:rPr>
        <w:t xml:space="preserve">SA Health – Signage </w:t>
      </w:r>
      <w:proofErr w:type="gramStart"/>
      <w:r w:rsidRPr="00F573E7">
        <w:rPr>
          <w:bCs w:val="0"/>
          <w:color w:val="000000" w:themeColor="text1"/>
          <w:szCs w:val="22"/>
        </w:rPr>
        <w:t>Standards</w:t>
      </w:r>
      <w:r w:rsidR="00D574A5">
        <w:rPr>
          <w:bCs w:val="0"/>
          <w:color w:val="000000" w:themeColor="text1"/>
          <w:szCs w:val="22"/>
        </w:rPr>
        <w:t>;</w:t>
      </w:r>
      <w:proofErr w:type="gramEnd"/>
    </w:p>
    <w:p w14:paraId="71D87CE1" w14:textId="28E0D880" w:rsidR="003A7F26" w:rsidRPr="00F573E7" w:rsidRDefault="003A7F26" w:rsidP="00F87422">
      <w:pPr>
        <w:pStyle w:val="DocumentContent"/>
        <w:numPr>
          <w:ilvl w:val="0"/>
          <w:numId w:val="13"/>
        </w:numPr>
        <w:rPr>
          <w:bCs w:val="0"/>
          <w:color w:val="000000" w:themeColor="text1"/>
          <w:szCs w:val="22"/>
        </w:rPr>
      </w:pPr>
      <w:r w:rsidRPr="00F573E7">
        <w:rPr>
          <w:bCs w:val="0"/>
          <w:color w:val="000000" w:themeColor="text1"/>
          <w:szCs w:val="22"/>
        </w:rPr>
        <w:lastRenderedPageBreak/>
        <w:t>SA Health –Installation of a Structured Cabling System Specif</w:t>
      </w:r>
      <w:r w:rsidR="008D3699">
        <w:rPr>
          <w:bCs w:val="0"/>
          <w:color w:val="000000" w:themeColor="text1"/>
          <w:szCs w:val="22"/>
        </w:rPr>
        <w:t xml:space="preserve">ication – ICT Services Version </w:t>
      </w:r>
      <w:proofErr w:type="gramStart"/>
      <w:r w:rsidR="008D3699">
        <w:rPr>
          <w:bCs w:val="0"/>
          <w:color w:val="000000" w:themeColor="text1"/>
          <w:szCs w:val="22"/>
        </w:rPr>
        <w:t>7</w:t>
      </w:r>
      <w:r w:rsidRPr="00F573E7">
        <w:rPr>
          <w:bCs w:val="0"/>
          <w:color w:val="000000" w:themeColor="text1"/>
          <w:szCs w:val="22"/>
        </w:rPr>
        <w:t>.0</w:t>
      </w:r>
      <w:r w:rsidR="00D574A5">
        <w:rPr>
          <w:bCs w:val="0"/>
          <w:color w:val="000000" w:themeColor="text1"/>
          <w:szCs w:val="22"/>
        </w:rPr>
        <w:t>;</w:t>
      </w:r>
      <w:proofErr w:type="gramEnd"/>
    </w:p>
    <w:p w14:paraId="193BC84A" w14:textId="54DE728D" w:rsidR="003A7F26" w:rsidRPr="00F573E7" w:rsidRDefault="003A7F26" w:rsidP="00F87422">
      <w:pPr>
        <w:pStyle w:val="DocumentContent"/>
        <w:numPr>
          <w:ilvl w:val="0"/>
          <w:numId w:val="13"/>
        </w:numPr>
        <w:rPr>
          <w:bCs w:val="0"/>
          <w:color w:val="000000" w:themeColor="text1"/>
          <w:szCs w:val="22"/>
        </w:rPr>
      </w:pPr>
      <w:r w:rsidRPr="00F573E7">
        <w:rPr>
          <w:bCs w:val="0"/>
          <w:color w:val="000000" w:themeColor="text1"/>
          <w:szCs w:val="22"/>
        </w:rPr>
        <w:t xml:space="preserve">SA Health – Medical Gas Policy </w:t>
      </w:r>
      <w:proofErr w:type="gramStart"/>
      <w:r w:rsidRPr="00F573E7">
        <w:rPr>
          <w:bCs w:val="0"/>
          <w:color w:val="000000" w:themeColor="text1"/>
          <w:szCs w:val="22"/>
        </w:rPr>
        <w:t>Directive</w:t>
      </w:r>
      <w:r w:rsidR="00D574A5">
        <w:rPr>
          <w:bCs w:val="0"/>
          <w:color w:val="000000" w:themeColor="text1"/>
          <w:szCs w:val="22"/>
        </w:rPr>
        <w:t>;</w:t>
      </w:r>
      <w:proofErr w:type="gramEnd"/>
    </w:p>
    <w:p w14:paraId="257F7ECC" w14:textId="3E0D61E2" w:rsidR="003A7F26" w:rsidRPr="00F573E7" w:rsidRDefault="003A7F26" w:rsidP="00F87422">
      <w:pPr>
        <w:pStyle w:val="DocumentContent"/>
        <w:numPr>
          <w:ilvl w:val="0"/>
          <w:numId w:val="13"/>
        </w:numPr>
        <w:rPr>
          <w:bCs w:val="0"/>
          <w:color w:val="000000" w:themeColor="text1"/>
          <w:szCs w:val="22"/>
        </w:rPr>
      </w:pPr>
      <w:r w:rsidRPr="00F573E7">
        <w:rPr>
          <w:bCs w:val="0"/>
          <w:color w:val="000000" w:themeColor="text1"/>
          <w:szCs w:val="22"/>
        </w:rPr>
        <w:t xml:space="preserve">SA Health – Bedside Monitor Mounting Installation Guide for New SA Health Hospital </w:t>
      </w:r>
      <w:proofErr w:type="gramStart"/>
      <w:r w:rsidRPr="00F573E7">
        <w:rPr>
          <w:bCs w:val="0"/>
          <w:color w:val="000000" w:themeColor="text1"/>
          <w:szCs w:val="22"/>
        </w:rPr>
        <w:t>Sites</w:t>
      </w:r>
      <w:r w:rsidR="00D574A5">
        <w:rPr>
          <w:bCs w:val="0"/>
          <w:color w:val="000000" w:themeColor="text1"/>
          <w:szCs w:val="22"/>
        </w:rPr>
        <w:t>;</w:t>
      </w:r>
      <w:proofErr w:type="gramEnd"/>
    </w:p>
    <w:p w14:paraId="4AE1CF3B" w14:textId="32757079" w:rsidR="009F02BD" w:rsidRDefault="003A7F26" w:rsidP="00F87422">
      <w:pPr>
        <w:pStyle w:val="DocumentContent"/>
        <w:numPr>
          <w:ilvl w:val="0"/>
          <w:numId w:val="13"/>
        </w:numPr>
      </w:pPr>
      <w:r>
        <w:t>Project Completion Requirements</w:t>
      </w:r>
      <w:r w:rsidR="00D03B92">
        <w:t xml:space="preserve"> </w:t>
      </w:r>
      <w:r w:rsidR="00D03B92" w:rsidRPr="003B17CD">
        <w:rPr>
          <w:rFonts w:cs="Arial"/>
          <w:bCs w:val="0"/>
          <w:i/>
          <w:iCs/>
          <w:szCs w:val="22"/>
          <w:shd w:val="clear" w:color="auto" w:fill="FFFFFF"/>
        </w:rPr>
        <w:t xml:space="preserve">including </w:t>
      </w:r>
      <w:r w:rsidR="003B17CD" w:rsidRPr="009C3276">
        <w:rPr>
          <w:rFonts w:cs="Arial"/>
          <w:bCs w:val="0"/>
          <w:i/>
          <w:iCs/>
          <w:szCs w:val="22"/>
          <w:shd w:val="clear" w:color="auto" w:fill="FFFFCC"/>
        </w:rPr>
        <w:t>SA Health Data Requirements</w:t>
      </w:r>
      <w:r w:rsidR="003B17CD">
        <w:t xml:space="preserve"> </w:t>
      </w:r>
      <w:r w:rsidRPr="00F573E7">
        <w:t xml:space="preserve">(copies available through the </w:t>
      </w:r>
      <w:r w:rsidR="00FA231C">
        <w:t>Department</w:t>
      </w:r>
      <w:r w:rsidR="00FA231C" w:rsidRPr="00F573E7">
        <w:t xml:space="preserve"> </w:t>
      </w:r>
      <w:r w:rsidR="00BB18E5">
        <w:t>p</w:t>
      </w:r>
      <w:r w:rsidRPr="00F573E7">
        <w:t xml:space="preserve">roject </w:t>
      </w:r>
      <w:r w:rsidR="00BB18E5">
        <w:t>m</w:t>
      </w:r>
      <w:r w:rsidRPr="00F573E7">
        <w:t>anager)</w:t>
      </w:r>
      <w:r w:rsidR="00D574A5">
        <w:t>; and</w:t>
      </w:r>
    </w:p>
    <w:p w14:paraId="6124E64E" w14:textId="1ECEA390" w:rsidR="009F02BD" w:rsidRDefault="009F02BD" w:rsidP="00F87422">
      <w:pPr>
        <w:pStyle w:val="DocumentContent"/>
        <w:numPr>
          <w:ilvl w:val="0"/>
          <w:numId w:val="13"/>
        </w:numPr>
      </w:pPr>
      <w:r>
        <w:t>SA Health complies with legislation and SA Government Policy requirements for criminal and relevant history screening.</w:t>
      </w:r>
      <w:r w:rsidRPr="009F02BD">
        <w:t xml:space="preserve"> </w:t>
      </w:r>
      <w:r>
        <w:t xml:space="preserve">Appropriate criminal and relevant history screening is </w:t>
      </w:r>
      <w:r w:rsidR="00643CBF">
        <w:t>required</w:t>
      </w:r>
      <w:r>
        <w:t xml:space="preserve"> prior to commencement of services to or on behalf of SA Health;</w:t>
      </w:r>
      <w:r w:rsidR="00643CBF">
        <w:t xml:space="preserve"> </w:t>
      </w:r>
      <w:r>
        <w:t>and prior to accessing SA Health premises or information systems for work,</w:t>
      </w:r>
      <w:r w:rsidR="00643CBF">
        <w:t xml:space="preserve"> </w:t>
      </w:r>
      <w:r>
        <w:t>study or research</w:t>
      </w:r>
      <w:r w:rsidR="00643CBF">
        <w:t>.</w:t>
      </w:r>
    </w:p>
    <w:p w14:paraId="66494E51" w14:textId="77777777" w:rsidR="00C50E0B" w:rsidRPr="00C3642E" w:rsidRDefault="00C50E0B">
      <w:pPr>
        <w:pStyle w:val="Heading2"/>
      </w:pPr>
      <w:r w:rsidRPr="00C3642E">
        <w:t>Impairment to Fire Services</w:t>
      </w:r>
    </w:p>
    <w:p w14:paraId="254E64A6" w14:textId="42217C68" w:rsidR="00C50E0B" w:rsidRDefault="00C50E0B" w:rsidP="00F87422">
      <w:pPr>
        <w:spacing w:after="120"/>
      </w:pPr>
      <w:r w:rsidRPr="00C3642E">
        <w:t xml:space="preserve">Where there are existing fire services on the proposed building site it is a requirement that the South Australian Government Captive Insurance Corporation (SAICORP) </w:t>
      </w:r>
      <w:r w:rsidR="008678EF">
        <w:t>(Ph: </w:t>
      </w:r>
      <w:r w:rsidRPr="00C3642E">
        <w:t>8226</w:t>
      </w:r>
      <w:r w:rsidR="008678EF">
        <w:t> </w:t>
      </w:r>
      <w:r w:rsidRPr="00C3642E">
        <w:t>2270</w:t>
      </w:r>
      <w:r w:rsidR="008678EF">
        <w:t>)</w:t>
      </w:r>
      <w:r w:rsidRPr="00C3642E">
        <w:t xml:space="preserve"> is advised </w:t>
      </w:r>
      <w:r w:rsidRPr="00C3642E">
        <w:rPr>
          <w:u w:val="single"/>
        </w:rPr>
        <w:t>in writing</w:t>
      </w:r>
      <w:r w:rsidRPr="00C3642E">
        <w:t xml:space="preserve"> prior to the impairment of those services for a period of four calendar days or more. The </w:t>
      </w:r>
      <w:r w:rsidRPr="00C3642E">
        <w:rPr>
          <w:i/>
          <w:iCs/>
        </w:rPr>
        <w:t>Consultant</w:t>
      </w:r>
      <w:r w:rsidRPr="00C3642E">
        <w:t xml:space="preserve"> shall manage that the standard </w:t>
      </w:r>
      <w:r w:rsidR="00FA231C">
        <w:t>Department for Infrastructure and Transport</w:t>
      </w:r>
      <w:r w:rsidRPr="00C3642E">
        <w:t xml:space="preserve"> Preliminaries requirement to advise SAICORP is included in the construction </w:t>
      </w:r>
      <w:r w:rsidR="00F23AE0" w:rsidRPr="00C3642E">
        <w:t>contract and</w:t>
      </w:r>
      <w:r w:rsidRPr="00C3642E">
        <w:t xml:space="preserve"> is referred to in the relevant trade specification sections of the construction contract. The </w:t>
      </w:r>
      <w:r w:rsidRPr="00C3642E">
        <w:rPr>
          <w:i/>
          <w:iCs/>
        </w:rPr>
        <w:t xml:space="preserve">Consultant </w:t>
      </w:r>
      <w:r w:rsidRPr="00C3642E">
        <w:t>shall ensure that contractors are cognisant of this requirement during construction.</w:t>
      </w:r>
    </w:p>
    <w:p w14:paraId="4B780B5F" w14:textId="77777777" w:rsidR="007A0AD1" w:rsidRPr="007A0AD1" w:rsidRDefault="007A0AD1" w:rsidP="007A0AD1">
      <w:pPr>
        <w:pStyle w:val="Heading2"/>
      </w:pPr>
      <w:r w:rsidRPr="007A0AD1">
        <w:t xml:space="preserve">Legionella Control in Heated Water Systems </w:t>
      </w:r>
    </w:p>
    <w:p w14:paraId="3F4002D2" w14:textId="2779387A" w:rsidR="003A7F26" w:rsidRPr="007A0AD1" w:rsidRDefault="003A7F26" w:rsidP="00474E05">
      <w:pPr>
        <w:spacing w:after="120"/>
      </w:pPr>
      <w:r w:rsidRPr="007A0AD1">
        <w:t>Th</w:t>
      </w:r>
      <w:r>
        <w:t xml:space="preserve">e </w:t>
      </w:r>
      <w:r w:rsidRPr="00966A7E">
        <w:rPr>
          <w:i/>
        </w:rPr>
        <w:t>Consultant</w:t>
      </w:r>
      <w:r>
        <w:t xml:space="preserve"> shall design all heated water systems in accordance with the requirements </w:t>
      </w:r>
      <w:r w:rsidR="000F2263">
        <w:t>of “</w:t>
      </w:r>
      <w:r>
        <w:t xml:space="preserve">The Guidelines for the Control of Legionella in Manufactured Water Systems in South Australia” </w:t>
      </w:r>
      <w:r w:rsidR="00D574A5">
        <w:t>and</w:t>
      </w:r>
      <w:r>
        <w:t xml:space="preserve"> “South Australian Public Health (Legionella) Regulations 2013”</w:t>
      </w:r>
      <w:r w:rsidR="000F2263">
        <w:t>.</w:t>
      </w:r>
      <w:r>
        <w:rPr>
          <w:i/>
          <w:iCs/>
        </w:rPr>
        <w:t xml:space="preserve">  </w:t>
      </w:r>
      <w:r w:rsidRPr="007A0AD1">
        <w:rPr>
          <w:iCs/>
        </w:rPr>
        <w:t xml:space="preserve">Refer to the </w:t>
      </w:r>
      <w:r w:rsidRPr="007A0AD1">
        <w:t>guide</w:t>
      </w:r>
      <w:r>
        <w:t xml:space="preserve"> n</w:t>
      </w:r>
      <w:r w:rsidRPr="007A0AD1">
        <w:t xml:space="preserve">ote </w:t>
      </w:r>
      <w:r>
        <w:t>“</w:t>
      </w:r>
      <w:r w:rsidRPr="007A0AD1">
        <w:t>Legio</w:t>
      </w:r>
      <w:r>
        <w:t xml:space="preserve">nella </w:t>
      </w:r>
      <w:r w:rsidRPr="007A0AD1">
        <w:t>Control in Heated Water Systems (G</w:t>
      </w:r>
      <w:r>
        <w:t>106</w:t>
      </w:r>
      <w:r w:rsidRPr="007A0AD1">
        <w:t>)</w:t>
      </w:r>
      <w:r>
        <w:t>”</w:t>
      </w:r>
      <w:r w:rsidRPr="007A0AD1">
        <w:t xml:space="preserve"> </w:t>
      </w:r>
      <w:r>
        <w:t xml:space="preserve">for </w:t>
      </w:r>
      <w:r w:rsidRPr="007A0AD1">
        <w:t xml:space="preserve">an overview </w:t>
      </w:r>
      <w:r>
        <w:t xml:space="preserve">of </w:t>
      </w:r>
      <w:r w:rsidRPr="007A0AD1">
        <w:t xml:space="preserve">the </w:t>
      </w:r>
      <w:r>
        <w:t xml:space="preserve">design </w:t>
      </w:r>
      <w:r w:rsidRPr="007A0AD1">
        <w:t xml:space="preserve">responsibilities </w:t>
      </w:r>
      <w:r>
        <w:t>of</w:t>
      </w:r>
      <w:r w:rsidRPr="007A0AD1">
        <w:t xml:space="preserve"> the </w:t>
      </w:r>
      <w:r>
        <w:t>design team</w:t>
      </w:r>
      <w:r w:rsidRPr="007A0AD1">
        <w:t xml:space="preserve"> </w:t>
      </w:r>
      <w:r>
        <w:t>in</w:t>
      </w:r>
      <w:r w:rsidRPr="007A0AD1">
        <w:t xml:space="preserve"> ensuring compliance with the </w:t>
      </w:r>
      <w:r>
        <w:t>r</w:t>
      </w:r>
      <w:r w:rsidRPr="007A0AD1">
        <w:t xml:space="preserve">egulations </w:t>
      </w:r>
      <w:r>
        <w:t>on government projects.</w:t>
      </w:r>
    </w:p>
    <w:p w14:paraId="0FF6AAF9" w14:textId="77777777" w:rsidR="00C50E0B" w:rsidRDefault="001E55AE">
      <w:pPr>
        <w:pStyle w:val="Heading2"/>
      </w:pPr>
      <w:r>
        <w:t xml:space="preserve">Operations Manuals and </w:t>
      </w:r>
      <w:r w:rsidR="00C50E0B">
        <w:t>Maintenance Manual</w:t>
      </w:r>
    </w:p>
    <w:p w14:paraId="0509D2D3" w14:textId="77777777" w:rsidR="009E2102" w:rsidRDefault="00C50E0B" w:rsidP="00F87422">
      <w:pPr>
        <w:spacing w:after="120"/>
      </w:pPr>
      <w:r>
        <w:t xml:space="preserve">The </w:t>
      </w:r>
      <w:r>
        <w:rPr>
          <w:i/>
          <w:iCs/>
        </w:rPr>
        <w:t>Consultant</w:t>
      </w:r>
      <w:r>
        <w:t xml:space="preserve"> shall </w:t>
      </w:r>
      <w:r w:rsidR="009E2102">
        <w:t xml:space="preserve">ensure </w:t>
      </w:r>
      <w:r>
        <w:t>that</w:t>
      </w:r>
      <w:r w:rsidR="009E2102">
        <w:t>:</w:t>
      </w:r>
    </w:p>
    <w:p w14:paraId="64E99D40" w14:textId="329779F8" w:rsidR="009E2102" w:rsidRDefault="00C50E0B" w:rsidP="00F87422">
      <w:pPr>
        <w:numPr>
          <w:ilvl w:val="0"/>
          <w:numId w:val="10"/>
        </w:numPr>
        <w:spacing w:after="120"/>
      </w:pPr>
      <w:r>
        <w:t xml:space="preserve">the requirements for </w:t>
      </w:r>
      <w:r w:rsidR="002C5000">
        <w:t>Operations M</w:t>
      </w:r>
      <w:r w:rsidR="001E55AE">
        <w:t xml:space="preserve">anuals and </w:t>
      </w:r>
      <w:r w:rsidR="002C5000">
        <w:t>M</w:t>
      </w:r>
      <w:r>
        <w:t xml:space="preserve">aintenance </w:t>
      </w:r>
      <w:r w:rsidR="002C5000">
        <w:t>M</w:t>
      </w:r>
      <w:r>
        <w:t xml:space="preserve">anual are fully specified in the </w:t>
      </w:r>
      <w:r w:rsidR="009E2102">
        <w:t>“</w:t>
      </w:r>
      <w:r w:rsidR="001E55AE">
        <w:t>General Requirements</w:t>
      </w:r>
      <w:r w:rsidR="009E2102">
        <w:t>” section</w:t>
      </w:r>
      <w:r w:rsidR="001E55AE">
        <w:t xml:space="preserve"> </w:t>
      </w:r>
      <w:r>
        <w:t xml:space="preserve">of the construction </w:t>
      </w:r>
      <w:r w:rsidR="00F23AE0">
        <w:t>contract.</w:t>
      </w:r>
    </w:p>
    <w:p w14:paraId="71428DB8" w14:textId="66E4AAC9" w:rsidR="009E2102" w:rsidRDefault="00C50E0B" w:rsidP="00F87422">
      <w:pPr>
        <w:numPr>
          <w:ilvl w:val="0"/>
          <w:numId w:val="10"/>
        </w:numPr>
        <w:spacing w:after="120"/>
      </w:pPr>
      <w:r>
        <w:t xml:space="preserve">there is no repetition of the specification </w:t>
      </w:r>
      <w:r w:rsidR="009E2102">
        <w:t xml:space="preserve">(or inconsistency) </w:t>
      </w:r>
      <w:r>
        <w:t>for</w:t>
      </w:r>
      <w:r w:rsidR="002C5000">
        <w:t xml:space="preserve"> O</w:t>
      </w:r>
      <w:r w:rsidR="001E55AE">
        <w:t xml:space="preserve">perations </w:t>
      </w:r>
      <w:r w:rsidR="00D574A5">
        <w:t xml:space="preserve">Manuals and </w:t>
      </w:r>
      <w:r w:rsidR="002C5000">
        <w:t>M</w:t>
      </w:r>
      <w:r>
        <w:t xml:space="preserve">aintenance </w:t>
      </w:r>
      <w:r w:rsidR="00D574A5">
        <w:t xml:space="preserve">Manuals </w:t>
      </w:r>
      <w:r>
        <w:t xml:space="preserve">in the trade </w:t>
      </w:r>
      <w:r w:rsidR="00F23AE0">
        <w:t>specifications.</w:t>
      </w:r>
    </w:p>
    <w:p w14:paraId="2143B425" w14:textId="2A9CEC40" w:rsidR="009E2102" w:rsidRDefault="007110B0" w:rsidP="00F87422">
      <w:pPr>
        <w:numPr>
          <w:ilvl w:val="0"/>
          <w:numId w:val="10"/>
        </w:numPr>
        <w:spacing w:after="120"/>
      </w:pPr>
      <w:r>
        <w:t>the</w:t>
      </w:r>
      <w:r w:rsidR="009E2102">
        <w:t xml:space="preserve"> General Requirements requires the Operations Manuals and the Maintenance Manuals to be prepared in accordance with </w:t>
      </w:r>
      <w:r w:rsidR="00C50E0B" w:rsidRPr="009E2102">
        <w:t>the guide note “As Built Documentatio</w:t>
      </w:r>
      <w:r w:rsidRPr="00366B76">
        <w:t>n</w:t>
      </w:r>
      <w:r w:rsidR="00FE772D" w:rsidRPr="00660A17">
        <w:t>, Operations Manu</w:t>
      </w:r>
      <w:r w:rsidR="00FE772D">
        <w:t>als</w:t>
      </w:r>
      <w:r>
        <w:t xml:space="preserve"> and Maintenance </w:t>
      </w:r>
      <w:r w:rsidRPr="00794C42">
        <w:t>Manual</w:t>
      </w:r>
      <w:r w:rsidRPr="002A14DD">
        <w:t xml:space="preserve"> (G54)”</w:t>
      </w:r>
      <w:r w:rsidR="009E2102">
        <w:t>;</w:t>
      </w:r>
      <w:r w:rsidR="00D574A5">
        <w:t xml:space="preserve"> and</w:t>
      </w:r>
    </w:p>
    <w:p w14:paraId="3D62C349" w14:textId="1B13CB39" w:rsidR="00C50E0B" w:rsidRDefault="00411656" w:rsidP="00F87422">
      <w:pPr>
        <w:numPr>
          <w:ilvl w:val="0"/>
          <w:numId w:val="10"/>
        </w:numPr>
        <w:spacing w:after="120"/>
      </w:pPr>
      <w:r>
        <w:t xml:space="preserve">the Operations Manuals and the Maintenance Manuals are compliant and complete prior to submitting </w:t>
      </w:r>
      <w:r w:rsidR="009E2102">
        <w:t xml:space="preserve">them </w:t>
      </w:r>
      <w:r>
        <w:t xml:space="preserve">to </w:t>
      </w:r>
      <w:r w:rsidR="00FA231C">
        <w:t>the Department</w:t>
      </w:r>
      <w:r>
        <w:t>.</w:t>
      </w:r>
    </w:p>
    <w:p w14:paraId="10EAAB2D" w14:textId="77777777" w:rsidR="00C50E0B" w:rsidRDefault="00C50E0B">
      <w:pPr>
        <w:pStyle w:val="Heading2"/>
      </w:pPr>
      <w:r>
        <w:t>Nominated Subcontractors</w:t>
      </w:r>
      <w:bookmarkEnd w:id="39"/>
      <w:bookmarkEnd w:id="40"/>
      <w:bookmarkEnd w:id="41"/>
      <w:bookmarkEnd w:id="42"/>
    </w:p>
    <w:p w14:paraId="15B5A728" w14:textId="6DB9421F" w:rsidR="00C50E0B" w:rsidRDefault="00FA231C" w:rsidP="00F87422">
      <w:pPr>
        <w:spacing w:after="120"/>
      </w:pPr>
      <w:r>
        <w:t xml:space="preserve">The Department </w:t>
      </w:r>
      <w:r w:rsidR="00C50E0B">
        <w:t>policy is that nominated subcontractors are not used</w:t>
      </w:r>
      <w:r w:rsidR="004476D8">
        <w:t>,</w:t>
      </w:r>
      <w:r w:rsidR="00C50E0B">
        <w:t xml:space="preserve"> refer to</w:t>
      </w:r>
      <w:r w:rsidR="004476D8">
        <w:t xml:space="preserve"> guide note</w:t>
      </w:r>
      <w:r w:rsidR="00C50E0B">
        <w:t xml:space="preserve"> “Nominated and Selected Subcontractors (G7)” for details.</w:t>
      </w:r>
    </w:p>
    <w:p w14:paraId="74DA59C8" w14:textId="77777777" w:rsidR="00C50E0B" w:rsidRDefault="00C50E0B">
      <w:pPr>
        <w:pStyle w:val="Heading2"/>
      </w:pPr>
      <w:bookmarkStart w:id="43" w:name="_Toc522510701"/>
      <w:bookmarkStart w:id="44" w:name="_Toc524436697"/>
      <w:bookmarkStart w:id="45" w:name="_Toc524436827"/>
      <w:bookmarkStart w:id="46" w:name="_Toc525991833"/>
      <w:r>
        <w:lastRenderedPageBreak/>
        <w:t>Performance Based Specification</w:t>
      </w:r>
    </w:p>
    <w:p w14:paraId="77B34CF5" w14:textId="3DD151D5" w:rsidR="00C50E0B" w:rsidRDefault="00C50E0B" w:rsidP="00F87422">
      <w:pPr>
        <w:spacing w:after="120"/>
      </w:pPr>
      <w:r>
        <w:t xml:space="preserve">It is </w:t>
      </w:r>
      <w:r w:rsidR="00FA231C">
        <w:t xml:space="preserve">the Department </w:t>
      </w:r>
      <w:r>
        <w:t xml:space="preserve">policy that the use of </w:t>
      </w:r>
      <w:r w:rsidR="00F23AE0">
        <w:t>performance-based</w:t>
      </w:r>
      <w:r>
        <w:t xml:space="preserve"> specification is strictly limited. The </w:t>
      </w:r>
      <w:r>
        <w:rPr>
          <w:i/>
          <w:iCs/>
        </w:rPr>
        <w:t>Consultant</w:t>
      </w:r>
      <w:r>
        <w:t xml:space="preserve"> shall refer to the guide note “Performance Based Specification (G6)” and discuss with the </w:t>
      </w:r>
      <w:r w:rsidR="00FA231C">
        <w:t xml:space="preserve">Department </w:t>
      </w:r>
      <w:r>
        <w:t>Project Manager before using this form of specification.</w:t>
      </w:r>
    </w:p>
    <w:p w14:paraId="349C4439" w14:textId="77777777" w:rsidR="00C50E0B" w:rsidRDefault="00C50E0B">
      <w:pPr>
        <w:pStyle w:val="Heading2"/>
      </w:pPr>
      <w:r>
        <w:t>Planting Indigenous Species</w:t>
      </w:r>
    </w:p>
    <w:p w14:paraId="69F203DD" w14:textId="1BD06FC0" w:rsidR="00C50E0B" w:rsidRDefault="00C50E0B" w:rsidP="00F87422">
      <w:pPr>
        <w:spacing w:after="120"/>
      </w:pPr>
      <w:r>
        <w:t xml:space="preserve">Under government policy it is necessary for priority to be given to the planting of indigenous species in accordance with the “Planting Indigenous Species Policy”.  The policy </w:t>
      </w:r>
      <w:r w:rsidR="0099260B">
        <w:t xml:space="preserve">can be </w:t>
      </w:r>
      <w:r w:rsidR="0099260B" w:rsidRPr="00E22FDB">
        <w:t xml:space="preserve">found at the Department </w:t>
      </w:r>
      <w:r w:rsidR="00287086">
        <w:t>for</w:t>
      </w:r>
      <w:r w:rsidR="00287086" w:rsidRPr="00E22FDB">
        <w:t xml:space="preserve"> </w:t>
      </w:r>
      <w:r w:rsidRPr="00E22FDB">
        <w:t>Environment</w:t>
      </w:r>
      <w:r w:rsidR="00287086">
        <w:t xml:space="preserve"> and</w:t>
      </w:r>
      <w:r w:rsidR="008E7EEA" w:rsidRPr="00E22FDB">
        <w:t xml:space="preserve"> Water</w:t>
      </w:r>
      <w:r w:rsidRPr="00E22FDB">
        <w:t xml:space="preserve"> website: </w:t>
      </w:r>
      <w:hyperlink r:id="rId9" w:history="1">
        <w:r w:rsidR="00E22FDB" w:rsidRPr="00E22FDB">
          <w:rPr>
            <w:rStyle w:val="Hyperlink"/>
            <w:rFonts w:cs="Arial"/>
          </w:rPr>
          <w:t>www.environment.sa.gov.au</w:t>
        </w:r>
      </w:hyperlink>
      <w:r w:rsidR="00E22FDB">
        <w:t>.</w:t>
      </w:r>
    </w:p>
    <w:p w14:paraId="048B283B" w14:textId="77777777" w:rsidR="00C50E0B" w:rsidRDefault="00C50E0B">
      <w:pPr>
        <w:pStyle w:val="Heading2"/>
      </w:pPr>
      <w:r>
        <w:t>Project Review</w:t>
      </w:r>
    </w:p>
    <w:p w14:paraId="6D96788C" w14:textId="1351075E" w:rsidR="003C2391" w:rsidRDefault="003C2391" w:rsidP="00F87422">
      <w:pPr>
        <w:spacing w:after="120"/>
      </w:pPr>
      <w:r>
        <w:t>The Department has a Project Review</w:t>
      </w:r>
      <w:r w:rsidRPr="00D33F34">
        <w:t xml:space="preserve"> process</w:t>
      </w:r>
      <w:r w:rsidRPr="00D33F34">
        <w:rPr>
          <w:spacing w:val="-4"/>
        </w:rPr>
        <w:t xml:space="preserve"> </w:t>
      </w:r>
      <w:r w:rsidRPr="00D33F34">
        <w:t>for</w:t>
      </w:r>
      <w:r w:rsidRPr="00D33F34">
        <w:rPr>
          <w:spacing w:val="-1"/>
        </w:rPr>
        <w:t xml:space="preserve"> </w:t>
      </w:r>
      <w:r w:rsidRPr="00D33F34">
        <w:t>all</w:t>
      </w:r>
      <w:r w:rsidRPr="00D33F34">
        <w:rPr>
          <w:spacing w:val="-2"/>
        </w:rPr>
        <w:t xml:space="preserve"> </w:t>
      </w:r>
      <w:r w:rsidRPr="00D33F34">
        <w:t>major government building construction</w:t>
      </w:r>
      <w:r w:rsidRPr="00D33F34">
        <w:rPr>
          <w:spacing w:val="-4"/>
        </w:rPr>
        <w:t xml:space="preserve"> </w:t>
      </w:r>
      <w:r w:rsidRPr="00D33F34">
        <w:t>projects</w:t>
      </w:r>
      <w:r>
        <w:t xml:space="preserve">, typically those </w:t>
      </w:r>
      <w:r w:rsidRPr="00D33F34">
        <w:t>with</w:t>
      </w:r>
      <w:r w:rsidRPr="00D33F34">
        <w:rPr>
          <w:spacing w:val="-2"/>
        </w:rPr>
        <w:t xml:space="preserve"> </w:t>
      </w:r>
      <w:r w:rsidRPr="00D33F34">
        <w:t>a</w:t>
      </w:r>
      <w:r w:rsidRPr="00D33F34">
        <w:rPr>
          <w:spacing w:val="-2"/>
        </w:rPr>
        <w:t xml:space="preserve"> total project </w:t>
      </w:r>
      <w:r w:rsidRPr="00D33F34">
        <w:t xml:space="preserve">value </w:t>
      </w:r>
      <w:r>
        <w:t xml:space="preserve">(construction cost, plus professional fees, and disbursements) </w:t>
      </w:r>
      <w:r w:rsidRPr="00D33F34">
        <w:t>of over</w:t>
      </w:r>
      <w:r w:rsidRPr="00D33F34">
        <w:rPr>
          <w:spacing w:val="-1"/>
        </w:rPr>
        <w:t xml:space="preserve"> </w:t>
      </w:r>
      <w:r w:rsidRPr="00D33F34">
        <w:t>$4M</w:t>
      </w:r>
      <w:r>
        <w:t xml:space="preserve"> ex GST</w:t>
      </w:r>
      <w:r w:rsidRPr="00D33F34">
        <w:t>.</w:t>
      </w:r>
      <w:r>
        <w:t xml:space="preserve"> Refer to</w:t>
      </w:r>
      <w:r w:rsidR="007341C9">
        <w:t xml:space="preserve">  guide note </w:t>
      </w:r>
      <w:r>
        <w:t xml:space="preserve"> ‘Project Reviews” (G29).</w:t>
      </w:r>
    </w:p>
    <w:p w14:paraId="699304F8" w14:textId="65439ACC" w:rsidR="00C50E0B" w:rsidRDefault="00C50E0B" w:rsidP="00F87422">
      <w:pPr>
        <w:spacing w:after="120"/>
      </w:pPr>
      <w:r>
        <w:t>After the project is handed over to the client there is a requirement to conduct a p</w:t>
      </w:r>
      <w:r w:rsidR="008E7EEA">
        <w:t>ost construction review.  Refer to the proforma “</w:t>
      </w:r>
      <w:r w:rsidR="008E7EEA" w:rsidRPr="007F587E">
        <w:t xml:space="preserve">Post Construction Review </w:t>
      </w:r>
      <w:r w:rsidR="008E7EEA">
        <w:t xml:space="preserve">Survey </w:t>
      </w:r>
      <w:r w:rsidR="008E7EEA" w:rsidRPr="007F587E">
        <w:t>(193)</w:t>
      </w:r>
      <w:r w:rsidR="008E7EEA">
        <w:t xml:space="preserve">”.  </w:t>
      </w:r>
      <w:r>
        <w:t xml:space="preserve">Later after final completion there is a requirement to conduct a post occupancy review.  Refer to </w:t>
      </w:r>
      <w:r w:rsidR="008E7EEA">
        <w:t>the proforma “</w:t>
      </w:r>
      <w:r w:rsidR="008E7EEA" w:rsidRPr="007F587E">
        <w:t xml:space="preserve">Post Occupancy Evaluation </w:t>
      </w:r>
      <w:r w:rsidR="008E7EEA">
        <w:t xml:space="preserve">Survey </w:t>
      </w:r>
      <w:r w:rsidR="008E7EEA" w:rsidRPr="007F587E">
        <w:t>(195)</w:t>
      </w:r>
      <w:r w:rsidR="008E7EEA">
        <w:t xml:space="preserve">”.  </w:t>
      </w:r>
      <w:r>
        <w:t xml:space="preserve">For projects up to the value of $11 million, </w:t>
      </w:r>
      <w:r w:rsidR="00FA231C">
        <w:t xml:space="preserve">the Department </w:t>
      </w:r>
      <w:r>
        <w:t>often manages review through a combined post construction/post occupancy review three months after handover</w:t>
      </w:r>
      <w:r w:rsidR="008E7EEA">
        <w:t>.  Refer to the guide note “Post Construction Review and Post Occupancy Evaluation (G79)” for further informati</w:t>
      </w:r>
      <w:r w:rsidR="00A27BE0">
        <w:t>on.</w:t>
      </w:r>
    </w:p>
    <w:p w14:paraId="48329E5F" w14:textId="77777777" w:rsidR="00C50E0B" w:rsidRDefault="00C50E0B">
      <w:pPr>
        <w:pStyle w:val="Heading2"/>
      </w:pPr>
      <w:r>
        <w:t>Publicity Brochures</w:t>
      </w:r>
      <w:bookmarkEnd w:id="32"/>
      <w:bookmarkEnd w:id="43"/>
      <w:bookmarkEnd w:id="44"/>
      <w:bookmarkEnd w:id="45"/>
      <w:bookmarkEnd w:id="46"/>
    </w:p>
    <w:p w14:paraId="58F27B27" w14:textId="2E04D2B2" w:rsidR="00C50E0B" w:rsidRDefault="00C50E0B" w:rsidP="00474E05">
      <w:pPr>
        <w:spacing w:after="120"/>
      </w:pPr>
      <w:r>
        <w:t xml:space="preserve">When preparing brochures refer to </w:t>
      </w:r>
      <w:r w:rsidR="004476D8">
        <w:t xml:space="preserve">the guide note </w:t>
      </w:r>
      <w:r>
        <w:t>“Publicity Brochures (G23)” for requirements.</w:t>
      </w:r>
    </w:p>
    <w:p w14:paraId="696B5C6F" w14:textId="77777777" w:rsidR="00C50E0B" w:rsidRDefault="00C50E0B">
      <w:pPr>
        <w:pStyle w:val="Heading2"/>
      </w:pPr>
      <w:bookmarkStart w:id="47" w:name="_Toc521840912"/>
      <w:bookmarkStart w:id="48" w:name="_Toc522510702"/>
      <w:bookmarkStart w:id="49" w:name="_Toc524436698"/>
      <w:bookmarkStart w:id="50" w:name="_Toc524436828"/>
      <w:bookmarkStart w:id="51" w:name="_Toc525991834"/>
      <w:r>
        <w:t>Recycled Pavement Materials</w:t>
      </w:r>
    </w:p>
    <w:p w14:paraId="56C60349" w14:textId="6A5084D5" w:rsidR="00C50E0B" w:rsidRDefault="00C50E0B" w:rsidP="00F87422">
      <w:pPr>
        <w:spacing w:after="120"/>
      </w:pPr>
      <w:r>
        <w:t xml:space="preserve">Refer </w:t>
      </w:r>
      <w:r w:rsidR="004476D8">
        <w:t xml:space="preserve">to the </w:t>
      </w:r>
      <w:r>
        <w:t>guide note “Recycled Pavement Materials (G36)”.</w:t>
      </w:r>
    </w:p>
    <w:p w14:paraId="0578F61E" w14:textId="77777777" w:rsidR="00C50E0B" w:rsidRDefault="00C50E0B">
      <w:pPr>
        <w:pStyle w:val="Heading2"/>
      </w:pPr>
      <w:r>
        <w:t>Removal/Demolition of Buildings</w:t>
      </w:r>
      <w:bookmarkEnd w:id="47"/>
      <w:bookmarkEnd w:id="48"/>
      <w:bookmarkEnd w:id="49"/>
      <w:bookmarkEnd w:id="50"/>
      <w:bookmarkEnd w:id="51"/>
    </w:p>
    <w:p w14:paraId="0C869446" w14:textId="77777777" w:rsidR="00C50E0B" w:rsidRDefault="00C50E0B" w:rsidP="00474E05">
      <w:pPr>
        <w:spacing w:after="120"/>
      </w:pPr>
      <w:r>
        <w:t xml:space="preserve">If any buildings are removed or demolished, implement the requirements outlined in the guide note “Assessment </w:t>
      </w:r>
      <w:r w:rsidR="008E7EEA">
        <w:t xml:space="preserve">and Management </w:t>
      </w:r>
      <w:r>
        <w:t xml:space="preserve">of </w:t>
      </w:r>
      <w:r w:rsidR="008E7EEA">
        <w:t>DECD Sites</w:t>
      </w:r>
      <w:r>
        <w:t xml:space="preserve"> Treated with Termiticides (G32)” to determine if the soil is contaminated by chemicals used for the control of termite infestation.  Also refer to the guide note “Site Contamination (G37)”.</w:t>
      </w:r>
    </w:p>
    <w:p w14:paraId="40692866" w14:textId="77777777" w:rsidR="00D754F6" w:rsidRDefault="00D754F6" w:rsidP="00D754F6">
      <w:pPr>
        <w:pStyle w:val="Heading2"/>
      </w:pPr>
      <w:r>
        <w:t>Safety in Design Matrix</w:t>
      </w:r>
    </w:p>
    <w:p w14:paraId="2BDA03E7" w14:textId="3B13BE4D" w:rsidR="00D754F6" w:rsidRPr="00B07FA7" w:rsidRDefault="00016DF7" w:rsidP="00D754F6">
      <w:pPr>
        <w:spacing w:after="120"/>
      </w:pPr>
      <w:r>
        <w:t xml:space="preserve">The </w:t>
      </w:r>
      <w:r>
        <w:rPr>
          <w:i/>
          <w:iCs/>
        </w:rPr>
        <w:t>Consultant</w:t>
      </w:r>
      <w:r>
        <w:t xml:space="preserve"> shall meet the requirements of </w:t>
      </w:r>
      <w:r w:rsidR="00FE7835">
        <w:t xml:space="preserve">the Principles of Safe Design for Building Projects.  </w:t>
      </w:r>
      <w:r w:rsidR="00722911">
        <w:t xml:space="preserve">Details can be found in </w:t>
      </w:r>
      <w:r>
        <w:t>the guide note “Principles of Safe Design (G125)”</w:t>
      </w:r>
      <w:r w:rsidR="00BE1615">
        <w:t xml:space="preserve">.  </w:t>
      </w:r>
      <w:r w:rsidR="00F7696C">
        <w:t>Safety in Design documentation</w:t>
      </w:r>
      <w:r w:rsidR="0030657E">
        <w:t xml:space="preserve"> </w:t>
      </w:r>
      <w:r w:rsidR="00F7696C">
        <w:t xml:space="preserve">shall be prepared </w:t>
      </w:r>
      <w:r w:rsidR="009B7B1F">
        <w:t>in accordance with and</w:t>
      </w:r>
      <w:r w:rsidR="00D754F6" w:rsidRPr="00B07FA7">
        <w:t xml:space="preserve"> </w:t>
      </w:r>
      <w:r w:rsidR="00C43397">
        <w:t xml:space="preserve">shall </w:t>
      </w:r>
      <w:r w:rsidR="00D754F6" w:rsidRPr="00B07FA7">
        <w:t>meet the requirements of the Work Health and Safety Act 2012</w:t>
      </w:r>
      <w:r w:rsidR="00D754F6">
        <w:t xml:space="preserve"> </w:t>
      </w:r>
      <w:r w:rsidR="00D754F6" w:rsidRPr="00B07FA7">
        <w:t>(SA)</w:t>
      </w:r>
      <w:r w:rsidR="00123556">
        <w:t>,</w:t>
      </w:r>
      <w:r w:rsidR="00D754F6" w:rsidRPr="00B07FA7">
        <w:t xml:space="preserve"> WHS Regulations 2012 (SA) and the Safe Work Australia Safe Design of Structures – Code of Practice (2012).</w:t>
      </w:r>
    </w:p>
    <w:p w14:paraId="24916B9B" w14:textId="77777777" w:rsidR="00C13459" w:rsidRPr="00EC51AC" w:rsidRDefault="00C13459" w:rsidP="00C13459">
      <w:pPr>
        <w:pStyle w:val="Heading2"/>
      </w:pPr>
      <w:r w:rsidRPr="00EC51AC">
        <w:t>Seismic Restraint of Engineering Services</w:t>
      </w:r>
    </w:p>
    <w:p w14:paraId="79D9DADE" w14:textId="5D6B8AB2" w:rsidR="00C13459" w:rsidRDefault="00C13459" w:rsidP="00474E05">
      <w:pPr>
        <w:spacing w:after="120"/>
      </w:pPr>
      <w:r w:rsidRPr="00EC51AC">
        <w:t xml:space="preserve">Australian Standard 1170.4 – Earthquake actions in Australia, requires that certain engineering services be restrained against seismic loads. </w:t>
      </w:r>
      <w:r w:rsidR="002C33C0">
        <w:t xml:space="preserve">Requirements are specified in </w:t>
      </w:r>
      <w:r w:rsidR="004476D8">
        <w:t>the g</w:t>
      </w:r>
      <w:r w:rsidRPr="00EC51AC">
        <w:t>uide</w:t>
      </w:r>
      <w:r>
        <w:t xml:space="preserve"> </w:t>
      </w:r>
      <w:r w:rsidRPr="00EC51AC">
        <w:t xml:space="preserve">note “Seismic Restraint of Engineering Services (G172)” and drawings “Examples of Seismic Bracing for Services – Detail Sheets 1 and 2” </w:t>
      </w:r>
      <w:r>
        <w:t>(DG51 and DG52)</w:t>
      </w:r>
      <w:r w:rsidRPr="00EC51AC">
        <w:t xml:space="preserve">. A key requirement of the </w:t>
      </w:r>
      <w:r w:rsidR="004476D8">
        <w:t>g</w:t>
      </w:r>
      <w:r w:rsidRPr="00EC51AC">
        <w:t>uide</w:t>
      </w:r>
      <w:r>
        <w:t xml:space="preserve"> </w:t>
      </w:r>
      <w:r w:rsidRPr="00EC51AC">
        <w:t xml:space="preserve">note is that </w:t>
      </w:r>
      <w:r w:rsidRPr="00F87422">
        <w:rPr>
          <w:i/>
        </w:rPr>
        <w:t>Consultants</w:t>
      </w:r>
      <w:r w:rsidRPr="00EC51AC">
        <w:t xml:space="preserve"> design and document the required seismic restraint of services in detail as part of producing documents for tender</w:t>
      </w:r>
      <w:r w:rsidR="002C33C0">
        <w:t>.</w:t>
      </w:r>
    </w:p>
    <w:p w14:paraId="35AE7461" w14:textId="77777777" w:rsidR="00C13459" w:rsidRPr="00EC51AC" w:rsidRDefault="00C13459" w:rsidP="00C13459">
      <w:pPr>
        <w:pStyle w:val="Heading2"/>
      </w:pPr>
      <w:r w:rsidRPr="00EC51AC">
        <w:lastRenderedPageBreak/>
        <w:t xml:space="preserve">Seismic Restraint of </w:t>
      </w:r>
      <w:r>
        <w:t>Suspended Ceilings</w:t>
      </w:r>
    </w:p>
    <w:p w14:paraId="6265FC66" w14:textId="6450E59C" w:rsidR="00C13459" w:rsidRDefault="00C13459" w:rsidP="00474E05">
      <w:pPr>
        <w:spacing w:after="120"/>
      </w:pPr>
      <w:r w:rsidRPr="00EC51AC">
        <w:t xml:space="preserve">Australian Standard 1170.4 – Earthquake actions in Australia, requires that </w:t>
      </w:r>
      <w:r>
        <w:t>suspended ceilings</w:t>
      </w:r>
      <w:r w:rsidRPr="00EC51AC">
        <w:t xml:space="preserve"> be restrained against seismic loads. </w:t>
      </w:r>
      <w:r w:rsidR="002C33C0">
        <w:t>R</w:t>
      </w:r>
      <w:r w:rsidRPr="00EC51AC">
        <w:t>equirement</w:t>
      </w:r>
      <w:r w:rsidR="002C33C0">
        <w:t xml:space="preserve">s are specified in </w:t>
      </w:r>
      <w:r w:rsidR="004476D8">
        <w:t>the g</w:t>
      </w:r>
      <w:r w:rsidRPr="00EC51AC">
        <w:t>uide</w:t>
      </w:r>
      <w:r>
        <w:t xml:space="preserve"> </w:t>
      </w:r>
      <w:r w:rsidRPr="00EC51AC">
        <w:t xml:space="preserve">note “Seismic Restraint of </w:t>
      </w:r>
      <w:r w:rsidRPr="000D7EC1">
        <w:t>Suspended Ceilings (G173)”</w:t>
      </w:r>
      <w:r w:rsidRPr="00EC51AC">
        <w:t xml:space="preserve"> and drawings “Examples of Seismic Bracing for </w:t>
      </w:r>
      <w:r>
        <w:t>Suspended Ceilings – Detail Sheet</w:t>
      </w:r>
      <w:r w:rsidRPr="00EC51AC">
        <w:t>”</w:t>
      </w:r>
      <w:r>
        <w:t xml:space="preserve"> (DG53)</w:t>
      </w:r>
      <w:r w:rsidRPr="00EC51AC">
        <w:t xml:space="preserve">. A key requirement of the </w:t>
      </w:r>
      <w:r w:rsidR="004476D8">
        <w:t>g</w:t>
      </w:r>
      <w:r w:rsidRPr="00EC51AC">
        <w:t>uide</w:t>
      </w:r>
      <w:r>
        <w:t xml:space="preserve"> </w:t>
      </w:r>
      <w:r w:rsidRPr="00EC51AC">
        <w:t xml:space="preserve">note is that </w:t>
      </w:r>
      <w:r w:rsidRPr="00F87422">
        <w:rPr>
          <w:i/>
        </w:rPr>
        <w:t>Consultants</w:t>
      </w:r>
      <w:r w:rsidRPr="00EC51AC">
        <w:t xml:space="preserve"> design and document the required seismic restraints of services in detail as part of producing documents for tender.  </w:t>
      </w:r>
    </w:p>
    <w:p w14:paraId="21F2FDD3" w14:textId="77777777" w:rsidR="00C50E0B" w:rsidRDefault="00C50E0B">
      <w:pPr>
        <w:pStyle w:val="Heading2"/>
      </w:pPr>
      <w:bookmarkStart w:id="52" w:name="_Toc522510703"/>
      <w:bookmarkStart w:id="53" w:name="_Toc524436699"/>
      <w:bookmarkStart w:id="54" w:name="_Toc524436829"/>
      <w:bookmarkStart w:id="55" w:name="_Toc525991835"/>
      <w:r>
        <w:t>Shop Drawings</w:t>
      </w:r>
      <w:bookmarkEnd w:id="33"/>
      <w:bookmarkEnd w:id="52"/>
      <w:bookmarkEnd w:id="53"/>
      <w:bookmarkEnd w:id="54"/>
      <w:bookmarkEnd w:id="55"/>
    </w:p>
    <w:p w14:paraId="02004A91" w14:textId="1BE0484B" w:rsidR="00C50E0B" w:rsidRDefault="00C50E0B" w:rsidP="00474E05">
      <w:pPr>
        <w:spacing w:after="120"/>
      </w:pPr>
      <w:r>
        <w:t>Shop drawings are to be reviewed, not approved</w:t>
      </w:r>
      <w:r w:rsidR="004476D8">
        <w:t>,</w:t>
      </w:r>
      <w:r>
        <w:t xml:space="preserve"> and the appropriate wording should be included in the specification. This applies to the </w:t>
      </w:r>
      <w:r>
        <w:rPr>
          <w:i/>
          <w:iCs/>
        </w:rPr>
        <w:t>Consultant</w:t>
      </w:r>
      <w:r>
        <w:t xml:space="preserve"> and all subconsultants. Refer to the guide note “Shop Drawings (G21)”.</w:t>
      </w:r>
    </w:p>
    <w:p w14:paraId="60395804" w14:textId="77777777" w:rsidR="00C50E0B" w:rsidRDefault="00C50E0B">
      <w:pPr>
        <w:pStyle w:val="Heading2"/>
      </w:pPr>
      <w:bookmarkStart w:id="56" w:name="_Toc522510704"/>
      <w:bookmarkStart w:id="57" w:name="_Toc524436700"/>
      <w:bookmarkStart w:id="58" w:name="_Toc524436830"/>
      <w:bookmarkStart w:id="59" w:name="_Toc525991836"/>
      <w:r>
        <w:t>Site Contamination</w:t>
      </w:r>
    </w:p>
    <w:p w14:paraId="12F28C44" w14:textId="77777777" w:rsidR="00C50E0B" w:rsidRDefault="00C50E0B" w:rsidP="00474E05">
      <w:pPr>
        <w:spacing w:after="120"/>
      </w:pPr>
      <w:r>
        <w:t>The guide note “Site Contamination (G37)” provides information on the procedures that apply when soil contamination is found.</w:t>
      </w:r>
    </w:p>
    <w:p w14:paraId="7DFBCC04" w14:textId="77777777" w:rsidR="00C50E0B" w:rsidRDefault="00C50E0B" w:rsidP="00C50E0B">
      <w:pPr>
        <w:pStyle w:val="Heading2"/>
      </w:pPr>
      <w:bookmarkStart w:id="60" w:name="_Toc521840915"/>
      <w:bookmarkStart w:id="61" w:name="_Toc522510705"/>
      <w:bookmarkStart w:id="62" w:name="_Toc524436701"/>
      <w:bookmarkStart w:id="63" w:name="_Toc524436831"/>
      <w:bookmarkStart w:id="64" w:name="_Toc525991837"/>
      <w:bookmarkStart w:id="65" w:name="_Toc521840913"/>
      <w:bookmarkEnd w:id="56"/>
      <w:bookmarkEnd w:id="57"/>
      <w:bookmarkEnd w:id="58"/>
      <w:bookmarkEnd w:id="59"/>
      <w:r>
        <w:t>Solar Panels for Government Funded Building Projects</w:t>
      </w:r>
    </w:p>
    <w:p w14:paraId="3FCEA1F3" w14:textId="3444BA24" w:rsidR="00C50E0B" w:rsidRDefault="004476D8" w:rsidP="00F87422">
      <w:pPr>
        <w:tabs>
          <w:tab w:val="left" w:pos="600"/>
        </w:tabs>
        <w:spacing w:after="120"/>
      </w:pPr>
      <w:r>
        <w:t xml:space="preserve">The SA </w:t>
      </w:r>
      <w:r w:rsidR="00C50E0B">
        <w:t xml:space="preserve">Government has a policy in regard to the installation of solar panels in new or substantially refurbished building construction projects. The </w:t>
      </w:r>
      <w:r w:rsidR="00C50E0B">
        <w:rPr>
          <w:i/>
          <w:iCs/>
        </w:rPr>
        <w:t>Consultant</w:t>
      </w:r>
      <w:r w:rsidR="00C50E0B">
        <w:t xml:space="preserve"> shall plan and design the asset in accordance with the guide note “Solar Panels for Government Funded Building Projects (G140)”.</w:t>
      </w:r>
      <w:r>
        <w:t xml:space="preserve"> </w:t>
      </w:r>
      <w:r w:rsidR="00C50E0B">
        <w:t>The guide</w:t>
      </w:r>
      <w:r w:rsidR="008E7EEA">
        <w:t xml:space="preserve"> </w:t>
      </w:r>
      <w:r w:rsidR="00C50E0B">
        <w:t>note is referenced in “Ecologically Sustainable Development Planning, Design and Delivery (G44)”.</w:t>
      </w:r>
    </w:p>
    <w:p w14:paraId="7096FA1A" w14:textId="77777777" w:rsidR="00C13459" w:rsidRDefault="00C13459" w:rsidP="00C13459">
      <w:pPr>
        <w:pStyle w:val="Heading2"/>
      </w:pPr>
      <w:r>
        <w:t>Spare Capacity and Maximum Demand setting for Electrical Installations on Government Sites</w:t>
      </w:r>
    </w:p>
    <w:p w14:paraId="6B05B8C5" w14:textId="4BA5D6B0" w:rsidR="00C13459" w:rsidRPr="00BC2E40" w:rsidRDefault="00C13459" w:rsidP="00F87422">
      <w:pPr>
        <w:spacing w:after="120"/>
      </w:pPr>
      <w:r>
        <w:t>The guide note “</w:t>
      </w:r>
      <w:r w:rsidRPr="00BC2E40">
        <w:t>Spare Capacity and Maximum Demand setting for Electrical Installations on Government Sites</w:t>
      </w:r>
      <w:r w:rsidRPr="000D7EC1">
        <w:t xml:space="preserve"> (G177)</w:t>
      </w:r>
      <w:r w:rsidR="00665030">
        <w:t>”</w:t>
      </w:r>
      <w:r>
        <w:t xml:space="preserve"> gives direction on how Maximum Demand is be set when modifying an electrical supply for a Government site.</w:t>
      </w:r>
    </w:p>
    <w:p w14:paraId="7527C1B6" w14:textId="77777777" w:rsidR="00C50E0B" w:rsidRDefault="00C50E0B">
      <w:pPr>
        <w:pStyle w:val="Heading2"/>
      </w:pPr>
      <w:r>
        <w:t>Stormwater Pollution Control</w:t>
      </w:r>
      <w:bookmarkEnd w:id="60"/>
      <w:bookmarkEnd w:id="61"/>
      <w:bookmarkEnd w:id="62"/>
      <w:bookmarkEnd w:id="63"/>
      <w:bookmarkEnd w:id="64"/>
    </w:p>
    <w:p w14:paraId="113F6C8A" w14:textId="7B20B352" w:rsidR="00C50E0B" w:rsidRDefault="00FA231C" w:rsidP="00F87422">
      <w:pPr>
        <w:spacing w:after="120"/>
      </w:pPr>
      <w:r>
        <w:t xml:space="preserve">The Department </w:t>
      </w:r>
      <w:r w:rsidR="00C50E0B">
        <w:t xml:space="preserve">endorses the “General Code of Practice for State and Federal Government Agencies for stormwater pollution control” which has been issued under the auspices to the South Australian Office of the Environment Protection Authority (EPA).  The application of the Code is to be an integral part of the design </w:t>
      </w:r>
      <w:r w:rsidR="00966A7E">
        <w:t xml:space="preserve">and construction </w:t>
      </w:r>
      <w:r w:rsidR="00C50E0B">
        <w:t>process.  In particular the use of soil erosion and sediment control structures and the preparation of a Soil Erosion and Management Plan are to be addressed.</w:t>
      </w:r>
    </w:p>
    <w:p w14:paraId="4933A2B4" w14:textId="77777777" w:rsidR="00C50E0B" w:rsidRDefault="00C50E0B">
      <w:pPr>
        <w:pStyle w:val="Heading2"/>
      </w:pPr>
      <w:bookmarkStart w:id="66" w:name="_Toc522510706"/>
      <w:bookmarkStart w:id="67" w:name="_Toc524436702"/>
      <w:bookmarkStart w:id="68" w:name="_Toc524436832"/>
      <w:bookmarkStart w:id="69" w:name="_Toc525991838"/>
      <w:r>
        <w:t>Tender Evaluation</w:t>
      </w:r>
    </w:p>
    <w:p w14:paraId="5CF5B28C" w14:textId="316D4F32" w:rsidR="00C50E0B" w:rsidRDefault="00C50E0B" w:rsidP="00F87422">
      <w:pPr>
        <w:spacing w:after="120"/>
      </w:pPr>
      <w:r>
        <w:t xml:space="preserve">There are a number of guide notes that assist the </w:t>
      </w:r>
      <w:r>
        <w:rPr>
          <w:i/>
          <w:iCs/>
        </w:rPr>
        <w:t>Consultant</w:t>
      </w:r>
      <w:r>
        <w:t xml:space="preserve"> in the process of tender evaluation and recommendation.  They are “Evaluation of Construction Contract Tenders (G12)”, Evaluation of Construction Contract Tenders Notes” and “</w:t>
      </w:r>
      <w:r w:rsidR="0071545B">
        <w:t>Pre-Tender</w:t>
      </w:r>
      <w:r>
        <w:t xml:space="preserve"> Call Declaration (</w:t>
      </w:r>
      <w:r w:rsidR="008E7EEA">
        <w:t>200</w:t>
      </w:r>
      <w:r>
        <w:t>)”.</w:t>
      </w:r>
    </w:p>
    <w:p w14:paraId="58CF98EC" w14:textId="77777777" w:rsidR="00C50E0B" w:rsidRDefault="00C50E0B">
      <w:pPr>
        <w:pStyle w:val="Heading2"/>
      </w:pPr>
      <w:r>
        <w:t>Termite Management</w:t>
      </w:r>
    </w:p>
    <w:p w14:paraId="2F2A7D70" w14:textId="77777777" w:rsidR="00C50E0B" w:rsidRDefault="00C50E0B" w:rsidP="00F87422">
      <w:pPr>
        <w:spacing w:after="120"/>
      </w:pPr>
      <w:r>
        <w:t>The guide note “Termite Management (G38)” gives advice on the options under Australian Standards for differing flooring systems.</w:t>
      </w:r>
    </w:p>
    <w:bookmarkEnd w:id="65"/>
    <w:bookmarkEnd w:id="66"/>
    <w:bookmarkEnd w:id="67"/>
    <w:bookmarkEnd w:id="68"/>
    <w:bookmarkEnd w:id="69"/>
    <w:p w14:paraId="02F92DFB" w14:textId="799CFA21" w:rsidR="00EC51AC" w:rsidRDefault="00EC51AC" w:rsidP="00283601">
      <w:pPr>
        <w:spacing w:after="120"/>
      </w:pPr>
    </w:p>
    <w:sectPr w:rsidR="00EC51AC">
      <w:headerReference w:type="default" r:id="rId10"/>
      <w:footerReference w:type="default" r:id="rId11"/>
      <w:pgSz w:w="11907" w:h="16840" w:code="9"/>
      <w:pgMar w:top="1418" w:right="1418" w:bottom="1418" w:left="1418" w:header="720" w:footer="720" w:gutter="0"/>
      <w:paperSrc w:first="7" w:other="7"/>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C30383" w14:textId="77777777" w:rsidR="00FA06D6" w:rsidRDefault="00FA06D6">
      <w:r>
        <w:separator/>
      </w:r>
    </w:p>
  </w:endnote>
  <w:endnote w:type="continuationSeparator" w:id="0">
    <w:p w14:paraId="1EC2CBAE" w14:textId="77777777" w:rsidR="00FA06D6" w:rsidRDefault="00FA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41A8C" w14:textId="3E778A1F" w:rsidR="008678EF" w:rsidRDefault="009C3276">
    <w:pPr>
      <w:pStyle w:val="Footer"/>
      <w:tabs>
        <w:tab w:val="clear" w:pos="4153"/>
        <w:tab w:val="clear" w:pos="8306"/>
      </w:tabs>
      <w:jc w:val="right"/>
      <w:rPr>
        <w:sz w:val="16"/>
        <w:szCs w:val="16"/>
      </w:rPr>
    </w:pPr>
    <w:r>
      <w:rPr>
        <w:sz w:val="16"/>
        <w:szCs w:val="16"/>
      </w:rPr>
      <w:t>Project</w:t>
    </w:r>
  </w:p>
  <w:p w14:paraId="429411BA" w14:textId="6F0320A6" w:rsidR="00B15891" w:rsidRDefault="00B15891">
    <w:pPr>
      <w:pStyle w:val="Footer"/>
      <w:tabs>
        <w:tab w:val="clear" w:pos="4153"/>
        <w:tab w:val="clear" w:pos="8306"/>
      </w:tabs>
      <w:jc w:val="right"/>
      <w:rPr>
        <w:sz w:val="16"/>
        <w:szCs w:val="16"/>
      </w:rPr>
    </w:pPr>
    <w:r>
      <w:rPr>
        <w:sz w:val="16"/>
        <w:szCs w:val="16"/>
      </w:rPr>
      <w:t xml:space="preserve">Contract No. </w:t>
    </w:r>
    <w:r w:rsidR="009C3276">
      <w:rPr>
        <w:sz w:val="16"/>
        <w:szCs w:val="16"/>
      </w:rPr>
      <w:t>xx</w:t>
    </w:r>
    <w:r>
      <w:rPr>
        <w:sz w:val="16"/>
        <w:szCs w:val="16"/>
      </w:rPr>
      <w:t>-PC-202</w:t>
    </w:r>
    <w:r w:rsidR="009C3276">
      <w:rPr>
        <w:sz w:val="16"/>
        <w:szCs w:val="16"/>
      </w:rPr>
      <w:t>44</w:t>
    </w:r>
  </w:p>
  <w:p w14:paraId="126B346B" w14:textId="77777777" w:rsidR="008678EF" w:rsidRPr="007D6A3B" w:rsidRDefault="008678EF" w:rsidP="007D6A3B">
    <w:pPr>
      <w:jc w:val="right"/>
      <w:rPr>
        <w:sz w:val="16"/>
        <w:szCs w:val="16"/>
      </w:rPr>
    </w:pPr>
    <w:r w:rsidRPr="007D6A3B">
      <w:rPr>
        <w:sz w:val="16"/>
        <w:szCs w:val="16"/>
      </w:rPr>
      <w:t xml:space="preserve">Page </w:t>
    </w:r>
    <w:r w:rsidRPr="007D6A3B">
      <w:rPr>
        <w:sz w:val="16"/>
        <w:szCs w:val="16"/>
      </w:rPr>
      <w:fldChar w:fldCharType="begin"/>
    </w:r>
    <w:r w:rsidRPr="007D6A3B">
      <w:rPr>
        <w:sz w:val="16"/>
        <w:szCs w:val="16"/>
      </w:rPr>
      <w:instrText xml:space="preserve"> PAGE </w:instrText>
    </w:r>
    <w:r w:rsidRPr="007D6A3B">
      <w:rPr>
        <w:sz w:val="16"/>
        <w:szCs w:val="16"/>
      </w:rPr>
      <w:fldChar w:fldCharType="separate"/>
    </w:r>
    <w:r w:rsidR="00C37A02">
      <w:rPr>
        <w:noProof/>
        <w:sz w:val="16"/>
        <w:szCs w:val="16"/>
      </w:rPr>
      <w:t>4</w:t>
    </w:r>
    <w:r w:rsidRPr="007D6A3B">
      <w:rPr>
        <w:sz w:val="16"/>
        <w:szCs w:val="16"/>
      </w:rPr>
      <w:fldChar w:fldCharType="end"/>
    </w:r>
    <w:r w:rsidRPr="007D6A3B">
      <w:rPr>
        <w:sz w:val="16"/>
        <w:szCs w:val="16"/>
      </w:rPr>
      <w:t xml:space="preserve"> of </w:t>
    </w:r>
    <w:r w:rsidRPr="007D6A3B">
      <w:rPr>
        <w:sz w:val="16"/>
        <w:szCs w:val="16"/>
      </w:rPr>
      <w:fldChar w:fldCharType="begin"/>
    </w:r>
    <w:r w:rsidRPr="007D6A3B">
      <w:rPr>
        <w:sz w:val="16"/>
        <w:szCs w:val="16"/>
      </w:rPr>
      <w:instrText xml:space="preserve"> NUMPAGES  </w:instrText>
    </w:r>
    <w:r w:rsidRPr="007D6A3B">
      <w:rPr>
        <w:sz w:val="16"/>
        <w:szCs w:val="16"/>
      </w:rPr>
      <w:fldChar w:fldCharType="separate"/>
    </w:r>
    <w:r w:rsidR="00C37A02">
      <w:rPr>
        <w:noProof/>
        <w:sz w:val="16"/>
        <w:szCs w:val="16"/>
      </w:rPr>
      <w:t>7</w:t>
    </w:r>
    <w:r w:rsidRPr="007D6A3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BACA2" w14:textId="77777777" w:rsidR="00FA06D6" w:rsidRDefault="00FA06D6">
      <w:r>
        <w:separator/>
      </w:r>
    </w:p>
  </w:footnote>
  <w:footnote w:type="continuationSeparator" w:id="0">
    <w:p w14:paraId="1AA2570B" w14:textId="77777777" w:rsidR="00FA06D6" w:rsidRDefault="00FA0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05831" w14:textId="4FCC4B63" w:rsidR="008678EF" w:rsidRDefault="00CC24FC">
    <w:pPr>
      <w:pStyle w:val="Header"/>
      <w:tabs>
        <w:tab w:val="clear" w:pos="4153"/>
        <w:tab w:val="clear" w:pos="8306"/>
      </w:tabs>
      <w:jc w:val="right"/>
      <w:rPr>
        <w:sz w:val="16"/>
        <w:szCs w:val="16"/>
      </w:rPr>
    </w:pPr>
    <w:r>
      <w:rPr>
        <w:noProof/>
        <w:sz w:val="16"/>
        <w:szCs w:val="16"/>
      </w:rPr>
      <mc:AlternateContent>
        <mc:Choice Requires="wps">
          <w:drawing>
            <wp:anchor distT="0" distB="0" distL="114300" distR="114300" simplePos="0" relativeHeight="251659264" behindDoc="0" locked="0" layoutInCell="0" allowOverlap="1" wp14:anchorId="6B7502E2" wp14:editId="4A9DD614">
              <wp:simplePos x="0" y="0"/>
              <wp:positionH relativeFrom="page">
                <wp:posOffset>0</wp:posOffset>
              </wp:positionH>
              <wp:positionV relativeFrom="page">
                <wp:posOffset>190500</wp:posOffset>
              </wp:positionV>
              <wp:extent cx="7560945" cy="252095"/>
              <wp:effectExtent l="0" t="0" r="0" b="14605"/>
              <wp:wrapNone/>
              <wp:docPr id="1" name="MSIPCM0e144d3a944a376d2bb3c27f" descr="{&quot;HashCode&quot;:1178062039,&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8E888D" w14:textId="08E1DA80" w:rsidR="00CC24FC" w:rsidRPr="00CC24FC" w:rsidRDefault="00CC24FC" w:rsidP="00CC24FC">
                          <w:pPr>
                            <w:jc w:val="center"/>
                            <w:rPr>
                              <w:color w:val="A80000"/>
                              <w:sz w:val="24"/>
                            </w:rPr>
                          </w:pPr>
                          <w:r w:rsidRPr="00CC24FC">
                            <w:rPr>
                              <w:color w:val="A80000"/>
                              <w:sz w:val="24"/>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6B7502E2" id="_x0000_t202" coordsize="21600,21600" o:spt="202" path="m,l,21600r21600,l21600,xe">
              <v:stroke joinstyle="miter"/>
              <v:path gradientshapeok="t" o:connecttype="rect"/>
            </v:shapetype>
            <v:shape id="MSIPCM0e144d3a944a376d2bb3c27f" o:spid="_x0000_s1026" type="#_x0000_t202" alt="{&quot;HashCode&quot;:1178062039,&quot;Height&quot;:842.0,&quot;Width&quot;:595.0,&quot;Placement&quot;:&quot;Header&quot;,&quot;Index&quot;:&quot;Primary&quot;,&quot;Section&quot;:1,&quot;Top&quot;:0.0,&quot;Left&quot;:0.0}" style="position:absolute;left:0;text-align:left;margin-left:0;margin-top:15pt;width:595.35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" o:allowincell="f" filled="f" stroked="f" strokeweight=".5pt">
              <v:textbox inset=",0,,0">
                <w:txbxContent>
                  <w:p w14:paraId="448E888D" w14:textId="08E1DA80" w:rsidR="00CC24FC" w:rsidRPr="00CC24FC" w:rsidRDefault="00CC24FC" w:rsidP="00CC24FC">
                    <w:pPr>
                      <w:jc w:val="center"/>
                      <w:rPr>
                        <w:color w:val="A80000"/>
                        <w:sz w:val="24"/>
                      </w:rPr>
                    </w:pPr>
                    <w:r w:rsidRPr="00CC24FC">
                      <w:rPr>
                        <w:color w:val="A80000"/>
                        <w:sz w:val="24"/>
                      </w:rPr>
                      <w:t>OFFICIAL</w:t>
                    </w:r>
                  </w:p>
                </w:txbxContent>
              </v:textbox>
              <w10:wrap anchorx="page" anchory="page"/>
            </v:shape>
          </w:pict>
        </mc:Fallback>
      </mc:AlternateContent>
    </w:r>
    <w:r w:rsidR="008678EF">
      <w:rPr>
        <w:sz w:val="16"/>
        <w:szCs w:val="16"/>
      </w:rPr>
      <w:t>Schedule 4</w:t>
    </w:r>
  </w:p>
  <w:p w14:paraId="7390947E" w14:textId="3384C4EB" w:rsidR="00D15E7E" w:rsidRDefault="00D15E7E">
    <w:pPr>
      <w:pStyle w:val="Header"/>
      <w:tabs>
        <w:tab w:val="clear" w:pos="4153"/>
        <w:tab w:val="clear" w:pos="8306"/>
      </w:tabs>
      <w:jc w:val="right"/>
      <w:rPr>
        <w:sz w:val="16"/>
        <w:szCs w:val="16"/>
      </w:rPr>
    </w:pPr>
    <w:r>
      <w:rPr>
        <w:sz w:val="16"/>
        <w:szCs w:val="16"/>
      </w:rPr>
      <w:t xml:space="preserve">Version: </w:t>
    </w:r>
    <w:r w:rsidR="009C3276">
      <w:rPr>
        <w:sz w:val="16"/>
        <w:szCs w:val="16"/>
      </w:rPr>
      <w:t>5</w:t>
    </w:r>
    <w:r w:rsidR="00287086">
      <w:rPr>
        <w:sz w:val="16"/>
        <w:szCs w:val="16"/>
      </w:rPr>
      <w:t xml:space="preserve"> </w:t>
    </w:r>
    <w:r w:rsidR="009C3276">
      <w:rPr>
        <w:sz w:val="16"/>
        <w:szCs w:val="16"/>
      </w:rPr>
      <w:t>March</w:t>
    </w:r>
    <w:r w:rsidR="00287086">
      <w:rPr>
        <w:sz w:val="16"/>
        <w:szCs w:val="16"/>
      </w:rPr>
      <w:t xml:space="preserve"> </w:t>
    </w:r>
    <w:r w:rsidR="009C3276">
      <w:rPr>
        <w:sz w:val="16"/>
        <w:szCs w:val="16"/>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02533"/>
    <w:multiLevelType w:val="hybridMultilevel"/>
    <w:tmpl w:val="FF3410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7B52496"/>
    <w:multiLevelType w:val="multilevel"/>
    <w:tmpl w:val="42787016"/>
    <w:lvl w:ilvl="0">
      <w:start w:val="4"/>
      <w:numFmt w:val="decimal"/>
      <w:lvlText w:val="%1."/>
      <w:lvlJc w:val="left"/>
      <w:pPr>
        <w:tabs>
          <w:tab w:val="num" w:pos="207"/>
        </w:tabs>
        <w:ind w:left="207" w:hanging="567"/>
      </w:pPr>
      <w:rPr>
        <w:rFonts w:ascii="Times New Roman" w:hAnsi="Times New Roman" w:cs="Times New Roman" w:hint="default"/>
        <w:b w:val="0"/>
        <w:bCs w:val="0"/>
        <w:i w:val="0"/>
        <w:iCs w:val="0"/>
      </w:rPr>
    </w:lvl>
    <w:lvl w:ilvl="1">
      <w:start w:val="1"/>
      <w:numFmt w:val="decimal"/>
      <w:pStyle w:val="Heading2"/>
      <w:lvlText w:val="%1.%2"/>
      <w:lvlJc w:val="left"/>
      <w:pPr>
        <w:tabs>
          <w:tab w:val="num" w:pos="567"/>
        </w:tabs>
        <w:ind w:left="567" w:hanging="567"/>
      </w:pPr>
      <w:rPr>
        <w:rFonts w:ascii="Arial" w:hAnsi="Arial" w:cs="Arial" w:hint="default"/>
        <w:b/>
        <w:bCs/>
        <w:i w:val="0"/>
        <w:iCs w:val="0"/>
        <w:sz w:val="22"/>
        <w:szCs w:val="22"/>
      </w:rPr>
    </w:lvl>
    <w:lvl w:ilvl="2">
      <w:start w:val="1"/>
      <w:numFmt w:val="decimal"/>
      <w:lvlText w:val="%1.%2.%3."/>
      <w:lvlJc w:val="left"/>
      <w:pPr>
        <w:tabs>
          <w:tab w:val="num" w:pos="864"/>
        </w:tabs>
        <w:ind w:left="864" w:hanging="504"/>
      </w:pPr>
      <w:rPr>
        <w:rFonts w:ascii="Times New Roman" w:hAnsi="Times New Roman" w:cs="Times New Roman" w:hint="default"/>
      </w:rPr>
    </w:lvl>
    <w:lvl w:ilvl="3">
      <w:start w:val="1"/>
      <w:numFmt w:val="decimal"/>
      <w:lvlText w:val="%1.%2.%3.%4."/>
      <w:lvlJc w:val="left"/>
      <w:pPr>
        <w:tabs>
          <w:tab w:val="num" w:pos="1368"/>
        </w:tabs>
        <w:ind w:left="1368" w:hanging="648"/>
      </w:pPr>
      <w:rPr>
        <w:rFonts w:ascii="Times New Roman" w:hAnsi="Times New Roman" w:cs="Times New Roman" w:hint="default"/>
      </w:rPr>
    </w:lvl>
    <w:lvl w:ilvl="4">
      <w:start w:val="1"/>
      <w:numFmt w:val="decimal"/>
      <w:lvlText w:val="%1.%2.%3.%4.%5."/>
      <w:lvlJc w:val="left"/>
      <w:pPr>
        <w:tabs>
          <w:tab w:val="num" w:pos="1872"/>
        </w:tabs>
        <w:ind w:left="1872" w:hanging="792"/>
      </w:pPr>
      <w:rPr>
        <w:rFonts w:ascii="Times New Roman" w:hAnsi="Times New Roman" w:cs="Times New Roman" w:hint="default"/>
      </w:rPr>
    </w:lvl>
    <w:lvl w:ilvl="5">
      <w:start w:val="1"/>
      <w:numFmt w:val="decimal"/>
      <w:lvlText w:val="%1.%2.%3.%4.%5.%6."/>
      <w:lvlJc w:val="left"/>
      <w:pPr>
        <w:tabs>
          <w:tab w:val="num" w:pos="2376"/>
        </w:tabs>
        <w:ind w:left="2376" w:hanging="936"/>
      </w:pPr>
      <w:rPr>
        <w:rFonts w:ascii="Times New Roman" w:hAnsi="Times New Roman" w:cs="Times New Roman" w:hint="default"/>
      </w:rPr>
    </w:lvl>
    <w:lvl w:ilvl="6">
      <w:start w:val="1"/>
      <w:numFmt w:val="decimal"/>
      <w:lvlText w:val="%1.%2.%3.%4.%5.%6.%7."/>
      <w:lvlJc w:val="left"/>
      <w:pPr>
        <w:tabs>
          <w:tab w:val="num" w:pos="2880"/>
        </w:tabs>
        <w:ind w:left="2880" w:hanging="1080"/>
      </w:pPr>
      <w:rPr>
        <w:rFonts w:ascii="Times New Roman" w:hAnsi="Times New Roman" w:cs="Times New Roman" w:hint="default"/>
      </w:rPr>
    </w:lvl>
    <w:lvl w:ilvl="7">
      <w:start w:val="1"/>
      <w:numFmt w:val="decimal"/>
      <w:lvlText w:val="%1.%2.%3.%4.%5.%6.%7.%8."/>
      <w:lvlJc w:val="left"/>
      <w:pPr>
        <w:tabs>
          <w:tab w:val="num" w:pos="3384"/>
        </w:tabs>
        <w:ind w:left="3384" w:hanging="1224"/>
      </w:pPr>
      <w:rPr>
        <w:rFonts w:ascii="Times New Roman" w:hAnsi="Times New Roman" w:cs="Times New Roman" w:hint="default"/>
      </w:rPr>
    </w:lvl>
    <w:lvl w:ilvl="8">
      <w:start w:val="1"/>
      <w:numFmt w:val="decimal"/>
      <w:lvlText w:val="%1.%2.%3.%4.%5.%6.%7.%8.%9."/>
      <w:lvlJc w:val="left"/>
      <w:pPr>
        <w:tabs>
          <w:tab w:val="num" w:pos="3960"/>
        </w:tabs>
        <w:ind w:left="3960" w:hanging="1440"/>
      </w:pPr>
      <w:rPr>
        <w:rFonts w:ascii="Times New Roman" w:hAnsi="Times New Roman" w:cs="Times New Roman" w:hint="default"/>
      </w:rPr>
    </w:lvl>
  </w:abstractNum>
  <w:abstractNum w:abstractNumId="2" w15:restartNumberingAfterBreak="0">
    <w:nsid w:val="4A722E39"/>
    <w:multiLevelType w:val="singleLevel"/>
    <w:tmpl w:val="1CC2BE06"/>
    <w:lvl w:ilvl="0">
      <w:start w:val="1"/>
      <w:numFmt w:val="decimal"/>
      <w:lvlText w:val="2.%1"/>
      <w:lvlJc w:val="left"/>
      <w:pPr>
        <w:tabs>
          <w:tab w:val="num" w:pos="567"/>
        </w:tabs>
        <w:ind w:left="567" w:hanging="567"/>
      </w:pPr>
      <w:rPr>
        <w:rFonts w:ascii="Times New Roman" w:hAnsi="Times New Roman" w:cs="Times New Roman"/>
      </w:rPr>
    </w:lvl>
  </w:abstractNum>
  <w:abstractNum w:abstractNumId="3" w15:restartNumberingAfterBreak="0">
    <w:nsid w:val="58DA5E14"/>
    <w:multiLevelType w:val="hybridMultilevel"/>
    <w:tmpl w:val="FA36A5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646718C0"/>
    <w:multiLevelType w:val="hybridMultilevel"/>
    <w:tmpl w:val="85F463B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15:restartNumberingAfterBreak="0">
    <w:nsid w:val="6724304B"/>
    <w:multiLevelType w:val="multilevel"/>
    <w:tmpl w:val="C6DC88E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C860D10"/>
    <w:multiLevelType w:val="multilevel"/>
    <w:tmpl w:val="986A8028"/>
    <w:lvl w:ilvl="0">
      <w:start w:val="4"/>
      <w:numFmt w:val="decimal"/>
      <w:lvlText w:val="%1."/>
      <w:lvlJc w:val="left"/>
      <w:pPr>
        <w:tabs>
          <w:tab w:val="num" w:pos="207"/>
        </w:tabs>
        <w:ind w:left="207" w:hanging="567"/>
      </w:pPr>
      <w:rPr>
        <w:rFonts w:ascii="Times New Roman" w:hAnsi="Times New Roman" w:cs="Times New Roman" w:hint="default"/>
        <w:b w:val="0"/>
        <w:bCs w:val="0"/>
        <w:i w:val="0"/>
        <w:iCs w:val="0"/>
      </w:rPr>
    </w:lvl>
    <w:lvl w:ilvl="1">
      <w:start w:val="1"/>
      <w:numFmt w:val="bullet"/>
      <w:lvlText w:val=""/>
      <w:lvlJc w:val="left"/>
      <w:pPr>
        <w:tabs>
          <w:tab w:val="num" w:pos="567"/>
        </w:tabs>
        <w:ind w:left="567" w:hanging="567"/>
      </w:pPr>
      <w:rPr>
        <w:rFonts w:ascii="Symbol" w:hAnsi="Symbol" w:hint="default"/>
        <w:b/>
        <w:bCs/>
        <w:i w:val="0"/>
        <w:iCs w:val="0"/>
        <w:sz w:val="22"/>
        <w:szCs w:val="22"/>
      </w:rPr>
    </w:lvl>
    <w:lvl w:ilvl="2">
      <w:start w:val="1"/>
      <w:numFmt w:val="decimal"/>
      <w:lvlText w:val="%1.%2.%3."/>
      <w:lvlJc w:val="left"/>
      <w:pPr>
        <w:tabs>
          <w:tab w:val="num" w:pos="864"/>
        </w:tabs>
        <w:ind w:left="864" w:hanging="504"/>
      </w:pPr>
      <w:rPr>
        <w:rFonts w:ascii="Times New Roman" w:hAnsi="Times New Roman" w:cs="Times New Roman" w:hint="default"/>
      </w:rPr>
    </w:lvl>
    <w:lvl w:ilvl="3">
      <w:start w:val="1"/>
      <w:numFmt w:val="decimal"/>
      <w:lvlText w:val="%1.%2.%3.%4."/>
      <w:lvlJc w:val="left"/>
      <w:pPr>
        <w:tabs>
          <w:tab w:val="num" w:pos="1368"/>
        </w:tabs>
        <w:ind w:left="1368" w:hanging="648"/>
      </w:pPr>
      <w:rPr>
        <w:rFonts w:ascii="Times New Roman" w:hAnsi="Times New Roman" w:cs="Times New Roman" w:hint="default"/>
      </w:rPr>
    </w:lvl>
    <w:lvl w:ilvl="4">
      <w:start w:val="1"/>
      <w:numFmt w:val="decimal"/>
      <w:lvlText w:val="%1.%2.%3.%4.%5."/>
      <w:lvlJc w:val="left"/>
      <w:pPr>
        <w:tabs>
          <w:tab w:val="num" w:pos="1872"/>
        </w:tabs>
        <w:ind w:left="1872" w:hanging="792"/>
      </w:pPr>
      <w:rPr>
        <w:rFonts w:ascii="Times New Roman" w:hAnsi="Times New Roman" w:cs="Times New Roman" w:hint="default"/>
      </w:rPr>
    </w:lvl>
    <w:lvl w:ilvl="5">
      <w:start w:val="1"/>
      <w:numFmt w:val="decimal"/>
      <w:lvlText w:val="%1.%2.%3.%4.%5.%6."/>
      <w:lvlJc w:val="left"/>
      <w:pPr>
        <w:tabs>
          <w:tab w:val="num" w:pos="2376"/>
        </w:tabs>
        <w:ind w:left="2376" w:hanging="936"/>
      </w:pPr>
      <w:rPr>
        <w:rFonts w:ascii="Times New Roman" w:hAnsi="Times New Roman" w:cs="Times New Roman" w:hint="default"/>
      </w:rPr>
    </w:lvl>
    <w:lvl w:ilvl="6">
      <w:start w:val="1"/>
      <w:numFmt w:val="decimal"/>
      <w:lvlText w:val="%1.%2.%3.%4.%5.%6.%7."/>
      <w:lvlJc w:val="left"/>
      <w:pPr>
        <w:tabs>
          <w:tab w:val="num" w:pos="2880"/>
        </w:tabs>
        <w:ind w:left="2880" w:hanging="1080"/>
      </w:pPr>
      <w:rPr>
        <w:rFonts w:ascii="Times New Roman" w:hAnsi="Times New Roman" w:cs="Times New Roman" w:hint="default"/>
      </w:rPr>
    </w:lvl>
    <w:lvl w:ilvl="7">
      <w:start w:val="1"/>
      <w:numFmt w:val="decimal"/>
      <w:lvlText w:val="%1.%2.%3.%4.%5.%6.%7.%8."/>
      <w:lvlJc w:val="left"/>
      <w:pPr>
        <w:tabs>
          <w:tab w:val="num" w:pos="3384"/>
        </w:tabs>
        <w:ind w:left="3384" w:hanging="1224"/>
      </w:pPr>
      <w:rPr>
        <w:rFonts w:ascii="Times New Roman" w:hAnsi="Times New Roman" w:cs="Times New Roman" w:hint="default"/>
      </w:rPr>
    </w:lvl>
    <w:lvl w:ilvl="8">
      <w:start w:val="1"/>
      <w:numFmt w:val="decimal"/>
      <w:lvlText w:val="%1.%2.%3.%4.%5.%6.%7.%8.%9."/>
      <w:lvlJc w:val="left"/>
      <w:pPr>
        <w:tabs>
          <w:tab w:val="num" w:pos="3960"/>
        </w:tabs>
        <w:ind w:left="3960" w:hanging="1440"/>
      </w:pPr>
      <w:rPr>
        <w:rFonts w:ascii="Times New Roman" w:hAnsi="Times New Roman" w:cs="Times New Roman" w:hint="default"/>
      </w:rPr>
    </w:lvl>
  </w:abstractNum>
  <w:abstractNum w:abstractNumId="7" w15:restartNumberingAfterBreak="0">
    <w:nsid w:val="6F304DAA"/>
    <w:multiLevelType w:val="hybridMultilevel"/>
    <w:tmpl w:val="4D38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F57054C"/>
    <w:multiLevelType w:val="multilevel"/>
    <w:tmpl w:val="2C841C7A"/>
    <w:lvl w:ilvl="0">
      <w:start w:val="4"/>
      <w:numFmt w:val="decimal"/>
      <w:lvlText w:val="%1."/>
      <w:lvlJc w:val="left"/>
      <w:pPr>
        <w:tabs>
          <w:tab w:val="num" w:pos="360"/>
        </w:tabs>
      </w:pPr>
      <w:rPr>
        <w:rFonts w:ascii="Times New Roman" w:hAnsi="Times New Roman" w:cs="Times New Roman" w:hint="default"/>
      </w:rPr>
    </w:lvl>
    <w:lvl w:ilvl="1">
      <w:start w:val="1"/>
      <w:numFmt w:val="decimal"/>
      <w:lvlText w:val="%1.%2"/>
      <w:lvlJc w:val="left"/>
      <w:pPr>
        <w:tabs>
          <w:tab w:val="num" w:pos="567"/>
        </w:tabs>
        <w:ind w:left="567" w:hanging="567"/>
      </w:pPr>
      <w:rPr>
        <w:rFonts w:ascii="Times New Roman" w:hAnsi="Times New Roman" w:cs="Times New Roman" w:hint="default"/>
      </w:rPr>
    </w:lvl>
    <w:lvl w:ilvl="2">
      <w:start w:val="1"/>
      <w:numFmt w:val="decimal"/>
      <w:lvlText w:val="%1.%2.%3."/>
      <w:lvlJc w:val="left"/>
      <w:pPr>
        <w:tabs>
          <w:tab w:val="num" w:pos="1800"/>
        </w:tabs>
        <w:ind w:left="1224" w:hanging="504"/>
      </w:pPr>
      <w:rPr>
        <w:rFonts w:ascii="Times New Roman" w:hAnsi="Times New Roman" w:cs="Times New Roman" w:hint="default"/>
      </w:rPr>
    </w:lvl>
    <w:lvl w:ilvl="3">
      <w:start w:val="1"/>
      <w:numFmt w:val="decimal"/>
      <w:lvlText w:val="%1.%2.%3.%4."/>
      <w:lvlJc w:val="left"/>
      <w:pPr>
        <w:tabs>
          <w:tab w:val="num" w:pos="2520"/>
        </w:tabs>
        <w:ind w:left="1728" w:hanging="648"/>
      </w:pPr>
      <w:rPr>
        <w:rFonts w:ascii="Times New Roman" w:hAnsi="Times New Roman" w:cs="Times New Roman" w:hint="default"/>
      </w:rPr>
    </w:lvl>
    <w:lvl w:ilvl="4">
      <w:start w:val="1"/>
      <w:numFmt w:val="decimal"/>
      <w:lvlText w:val="%1.%2.%3.%4.%5."/>
      <w:lvlJc w:val="left"/>
      <w:pPr>
        <w:tabs>
          <w:tab w:val="num" w:pos="3240"/>
        </w:tabs>
        <w:ind w:left="2232" w:hanging="792"/>
      </w:pPr>
      <w:rPr>
        <w:rFonts w:ascii="Times New Roman" w:hAnsi="Times New Roman" w:cs="Times New Roman" w:hint="default"/>
      </w:rPr>
    </w:lvl>
    <w:lvl w:ilvl="5">
      <w:start w:val="1"/>
      <w:numFmt w:val="decimal"/>
      <w:lvlText w:val="%1.%2.%3.%4.%5.%6."/>
      <w:lvlJc w:val="left"/>
      <w:pPr>
        <w:tabs>
          <w:tab w:val="num" w:pos="3960"/>
        </w:tabs>
        <w:ind w:left="2736" w:hanging="936"/>
      </w:pPr>
      <w:rPr>
        <w:rFonts w:ascii="Times New Roman" w:hAnsi="Times New Roman" w:cs="Times New Roman" w:hint="default"/>
      </w:rPr>
    </w:lvl>
    <w:lvl w:ilvl="6">
      <w:start w:val="1"/>
      <w:numFmt w:val="decimal"/>
      <w:lvlText w:val="%1.%2.%3.%4.%5.%6.%7."/>
      <w:lvlJc w:val="left"/>
      <w:pPr>
        <w:tabs>
          <w:tab w:val="num" w:pos="4680"/>
        </w:tabs>
        <w:ind w:left="3240" w:hanging="1080"/>
      </w:pPr>
      <w:rPr>
        <w:rFonts w:ascii="Times New Roman" w:hAnsi="Times New Roman" w:cs="Times New Roman" w:hint="default"/>
      </w:rPr>
    </w:lvl>
    <w:lvl w:ilvl="7">
      <w:start w:val="1"/>
      <w:numFmt w:val="decimal"/>
      <w:lvlText w:val="%1.%2.%3.%4.%5.%6.%7.%8."/>
      <w:lvlJc w:val="left"/>
      <w:pPr>
        <w:tabs>
          <w:tab w:val="num" w:pos="5400"/>
        </w:tabs>
        <w:ind w:left="3744" w:hanging="1224"/>
      </w:pPr>
      <w:rPr>
        <w:rFonts w:ascii="Times New Roman" w:hAnsi="Times New Roman" w:cs="Times New Roman" w:hint="default"/>
      </w:rPr>
    </w:lvl>
    <w:lvl w:ilvl="8">
      <w:start w:val="1"/>
      <w:numFmt w:val="decimal"/>
      <w:lvlText w:val="%1.%2.%3.%4.%5.%6.%7.%8.%9."/>
      <w:lvlJc w:val="left"/>
      <w:pPr>
        <w:tabs>
          <w:tab w:val="num" w:pos="6120"/>
        </w:tabs>
        <w:ind w:left="4320" w:hanging="1440"/>
      </w:pPr>
      <w:rPr>
        <w:rFonts w:ascii="Times New Roman" w:hAnsi="Times New Roman" w:cs="Times New Roman" w:hint="default"/>
      </w:rPr>
    </w:lvl>
  </w:abstractNum>
  <w:num w:numId="1" w16cid:durableId="1275672248">
    <w:abstractNumId w:val="2"/>
  </w:num>
  <w:num w:numId="2" w16cid:durableId="612789558">
    <w:abstractNumId w:val="8"/>
  </w:num>
  <w:num w:numId="3" w16cid:durableId="1795514581">
    <w:abstractNumId w:val="1"/>
  </w:num>
  <w:num w:numId="4" w16cid:durableId="1238055566">
    <w:abstractNumId w:val="1"/>
  </w:num>
  <w:num w:numId="5" w16cid:durableId="128129283">
    <w:abstractNumId w:val="1"/>
  </w:num>
  <w:num w:numId="6" w16cid:durableId="367534711">
    <w:abstractNumId w:val="1"/>
  </w:num>
  <w:num w:numId="7" w16cid:durableId="875047383">
    <w:abstractNumId w:val="1"/>
  </w:num>
  <w:num w:numId="8" w16cid:durableId="1730956926">
    <w:abstractNumId w:val="1"/>
  </w:num>
  <w:num w:numId="9" w16cid:durableId="984554753">
    <w:abstractNumId w:val="1"/>
  </w:num>
  <w:num w:numId="10" w16cid:durableId="568804848">
    <w:abstractNumId w:val="4"/>
  </w:num>
  <w:num w:numId="11" w16cid:durableId="2087797549">
    <w:abstractNumId w:val="5"/>
  </w:num>
  <w:num w:numId="12" w16cid:durableId="312485089">
    <w:abstractNumId w:val="3"/>
  </w:num>
  <w:num w:numId="13" w16cid:durableId="1154875449">
    <w:abstractNumId w:val="0"/>
  </w:num>
  <w:num w:numId="14" w16cid:durableId="1261569283">
    <w:abstractNumId w:val="6"/>
  </w:num>
  <w:num w:numId="15" w16cid:durableId="1110785327">
    <w:abstractNumId w:val="7"/>
  </w:num>
  <w:num w:numId="16" w16cid:durableId="371420691">
    <w:abstractNumId w:val="1"/>
  </w:num>
  <w:num w:numId="17" w16cid:durableId="2128573651">
    <w:abstractNumId w:val="1"/>
  </w:num>
  <w:num w:numId="18" w16cid:durableId="1532110512">
    <w:abstractNumId w:val="1"/>
  </w:num>
  <w:num w:numId="19" w16cid:durableId="658507077">
    <w:abstractNumId w:val="1"/>
  </w:num>
  <w:num w:numId="20" w16cid:durableId="587495455">
    <w:abstractNumId w:val="1"/>
  </w:num>
  <w:num w:numId="21" w16cid:durableId="1626691221">
    <w:abstractNumId w:val="1"/>
  </w:num>
  <w:num w:numId="22" w16cid:durableId="495418135">
    <w:abstractNumId w:val="1"/>
  </w:num>
  <w:num w:numId="23" w16cid:durableId="165826698">
    <w:abstractNumId w:val="1"/>
  </w:num>
  <w:num w:numId="24" w16cid:durableId="198974999">
    <w:abstractNumId w:val="1"/>
  </w:num>
  <w:num w:numId="25" w16cid:durableId="1092044364">
    <w:abstractNumId w:val="1"/>
  </w:num>
  <w:num w:numId="26" w16cid:durableId="1986081865">
    <w:abstractNumId w:val="1"/>
  </w:num>
  <w:num w:numId="27" w16cid:durableId="865025714">
    <w:abstractNumId w:val="1"/>
  </w:num>
  <w:num w:numId="28" w16cid:durableId="355885027">
    <w:abstractNumId w:val="1"/>
  </w:num>
  <w:num w:numId="29" w16cid:durableId="439834470">
    <w:abstractNumId w:val="1"/>
  </w:num>
  <w:num w:numId="30" w16cid:durableId="456723834">
    <w:abstractNumId w:val="1"/>
  </w:num>
  <w:num w:numId="31" w16cid:durableId="1483699220">
    <w:abstractNumId w:val="1"/>
  </w:num>
  <w:num w:numId="32" w16cid:durableId="481625977">
    <w:abstractNumId w:val="1"/>
  </w:num>
  <w:num w:numId="33" w16cid:durableId="1123160847">
    <w:abstractNumId w:val="1"/>
  </w:num>
  <w:num w:numId="34" w16cid:durableId="1657145401">
    <w:abstractNumId w:val="1"/>
  </w:num>
  <w:num w:numId="35" w16cid:durableId="1602302743">
    <w:abstractNumId w:val="1"/>
  </w:num>
  <w:num w:numId="36" w16cid:durableId="637996535">
    <w:abstractNumId w:val="1"/>
  </w:num>
  <w:num w:numId="37" w16cid:durableId="17321665">
    <w:abstractNumId w:val="1"/>
  </w:num>
  <w:num w:numId="38" w16cid:durableId="458453843">
    <w:abstractNumId w:val="1"/>
  </w:num>
  <w:num w:numId="39" w16cid:durableId="1866098125">
    <w:abstractNumId w:val="1"/>
  </w:num>
  <w:num w:numId="40" w16cid:durableId="2018074191">
    <w:abstractNumId w:val="1"/>
  </w:num>
  <w:num w:numId="41" w16cid:durableId="1389262594">
    <w:abstractNumId w:val="1"/>
  </w:num>
  <w:num w:numId="42" w16cid:durableId="1647659685">
    <w:abstractNumId w:val="1"/>
  </w:num>
  <w:num w:numId="43" w16cid:durableId="1398363715">
    <w:abstractNumId w:val="1"/>
  </w:num>
  <w:num w:numId="44" w16cid:durableId="1291013986">
    <w:abstractNumId w:val="1"/>
  </w:num>
  <w:num w:numId="45" w16cid:durableId="833765825">
    <w:abstractNumId w:val="1"/>
  </w:num>
  <w:num w:numId="46" w16cid:durableId="156532612">
    <w:abstractNumId w:val="1"/>
  </w:num>
  <w:num w:numId="47" w16cid:durableId="1596284348">
    <w:abstractNumId w:val="1"/>
  </w:num>
  <w:num w:numId="48" w16cid:durableId="756637204">
    <w:abstractNumId w:val="1"/>
  </w:num>
  <w:num w:numId="49" w16cid:durableId="2089886926">
    <w:abstractNumId w:val="1"/>
  </w:num>
  <w:num w:numId="50" w16cid:durableId="179399339">
    <w:abstractNumId w:val="1"/>
  </w:num>
  <w:num w:numId="51" w16cid:durableId="1415665639">
    <w:abstractNumId w:val="1"/>
  </w:num>
  <w:num w:numId="52" w16cid:durableId="1175876123">
    <w:abstractNumId w:val="1"/>
  </w:num>
  <w:num w:numId="53" w16cid:durableId="1026367899">
    <w:abstractNumId w:val="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3"/>
  <w:displayHorizontalDrawingGridEvery w:val="0"/>
  <w:displayVerticalDrawingGridEvery w:val="2"/>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312"/>
    <w:rsid w:val="00016DF7"/>
    <w:rsid w:val="000459AD"/>
    <w:rsid w:val="00051838"/>
    <w:rsid w:val="00067241"/>
    <w:rsid w:val="00067F09"/>
    <w:rsid w:val="00070193"/>
    <w:rsid w:val="00086385"/>
    <w:rsid w:val="0009123F"/>
    <w:rsid w:val="000A039B"/>
    <w:rsid w:val="000B1470"/>
    <w:rsid w:val="000C4C93"/>
    <w:rsid w:val="000E1709"/>
    <w:rsid w:val="000E374B"/>
    <w:rsid w:val="000F2263"/>
    <w:rsid w:val="00105088"/>
    <w:rsid w:val="00123556"/>
    <w:rsid w:val="0014311D"/>
    <w:rsid w:val="00182A79"/>
    <w:rsid w:val="001D3883"/>
    <w:rsid w:val="001E55AE"/>
    <w:rsid w:val="002105C9"/>
    <w:rsid w:val="0025014E"/>
    <w:rsid w:val="00283601"/>
    <w:rsid w:val="00287086"/>
    <w:rsid w:val="0029090E"/>
    <w:rsid w:val="002930EF"/>
    <w:rsid w:val="002A14DD"/>
    <w:rsid w:val="002B3E7C"/>
    <w:rsid w:val="002C33C0"/>
    <w:rsid w:val="002C5000"/>
    <w:rsid w:val="002C7C07"/>
    <w:rsid w:val="002E6BD6"/>
    <w:rsid w:val="003020E5"/>
    <w:rsid w:val="0030657E"/>
    <w:rsid w:val="00341CF8"/>
    <w:rsid w:val="003509A8"/>
    <w:rsid w:val="00356A73"/>
    <w:rsid w:val="00366B76"/>
    <w:rsid w:val="0037136C"/>
    <w:rsid w:val="00376591"/>
    <w:rsid w:val="00386F64"/>
    <w:rsid w:val="003A34CC"/>
    <w:rsid w:val="003A7F26"/>
    <w:rsid w:val="003B17CD"/>
    <w:rsid w:val="003C2391"/>
    <w:rsid w:val="003C2460"/>
    <w:rsid w:val="003C3BE6"/>
    <w:rsid w:val="003D333A"/>
    <w:rsid w:val="003D54C2"/>
    <w:rsid w:val="003E0DFE"/>
    <w:rsid w:val="004112D0"/>
    <w:rsid w:val="00411656"/>
    <w:rsid w:val="0041679D"/>
    <w:rsid w:val="0041701C"/>
    <w:rsid w:val="004476D8"/>
    <w:rsid w:val="00466B4C"/>
    <w:rsid w:val="00474E05"/>
    <w:rsid w:val="0048483A"/>
    <w:rsid w:val="004C2312"/>
    <w:rsid w:val="00512E08"/>
    <w:rsid w:val="00517B2C"/>
    <w:rsid w:val="00532063"/>
    <w:rsid w:val="00536F97"/>
    <w:rsid w:val="005600BE"/>
    <w:rsid w:val="005675A8"/>
    <w:rsid w:val="005729DC"/>
    <w:rsid w:val="0057305F"/>
    <w:rsid w:val="00577DF2"/>
    <w:rsid w:val="005A137D"/>
    <w:rsid w:val="005D1FE7"/>
    <w:rsid w:val="005E0A1A"/>
    <w:rsid w:val="00606827"/>
    <w:rsid w:val="00635882"/>
    <w:rsid w:val="00643CBF"/>
    <w:rsid w:val="00660A17"/>
    <w:rsid w:val="00665030"/>
    <w:rsid w:val="0066658E"/>
    <w:rsid w:val="00686D2D"/>
    <w:rsid w:val="006B03A6"/>
    <w:rsid w:val="006B7A45"/>
    <w:rsid w:val="006B7BEF"/>
    <w:rsid w:val="006C47A6"/>
    <w:rsid w:val="006E1882"/>
    <w:rsid w:val="007110B0"/>
    <w:rsid w:val="0071545B"/>
    <w:rsid w:val="00720885"/>
    <w:rsid w:val="00722911"/>
    <w:rsid w:val="007241DF"/>
    <w:rsid w:val="007341C9"/>
    <w:rsid w:val="007700E8"/>
    <w:rsid w:val="00774809"/>
    <w:rsid w:val="00794C42"/>
    <w:rsid w:val="007A0AD1"/>
    <w:rsid w:val="007B5601"/>
    <w:rsid w:val="007B7A77"/>
    <w:rsid w:val="007C02A5"/>
    <w:rsid w:val="007C1053"/>
    <w:rsid w:val="007D6A3B"/>
    <w:rsid w:val="007D781A"/>
    <w:rsid w:val="007E5195"/>
    <w:rsid w:val="007F587E"/>
    <w:rsid w:val="00854D1A"/>
    <w:rsid w:val="0085555C"/>
    <w:rsid w:val="008678EF"/>
    <w:rsid w:val="00874C64"/>
    <w:rsid w:val="008A6DC7"/>
    <w:rsid w:val="008B0E9D"/>
    <w:rsid w:val="008C7767"/>
    <w:rsid w:val="008D3699"/>
    <w:rsid w:val="008E7EEA"/>
    <w:rsid w:val="008F2C12"/>
    <w:rsid w:val="008F4BCB"/>
    <w:rsid w:val="00921035"/>
    <w:rsid w:val="00930C2D"/>
    <w:rsid w:val="00932964"/>
    <w:rsid w:val="009431C0"/>
    <w:rsid w:val="009545CE"/>
    <w:rsid w:val="00966A7E"/>
    <w:rsid w:val="009736E4"/>
    <w:rsid w:val="0099260B"/>
    <w:rsid w:val="009A7A23"/>
    <w:rsid w:val="009B7B1F"/>
    <w:rsid w:val="009C3276"/>
    <w:rsid w:val="009C4970"/>
    <w:rsid w:val="009D2E43"/>
    <w:rsid w:val="009E01FE"/>
    <w:rsid w:val="009E2102"/>
    <w:rsid w:val="009E743F"/>
    <w:rsid w:val="009F02BD"/>
    <w:rsid w:val="00A0259E"/>
    <w:rsid w:val="00A21CEA"/>
    <w:rsid w:val="00A24FFE"/>
    <w:rsid w:val="00A27BE0"/>
    <w:rsid w:val="00A66153"/>
    <w:rsid w:val="00A8312C"/>
    <w:rsid w:val="00AA4D5F"/>
    <w:rsid w:val="00AB4B55"/>
    <w:rsid w:val="00AC5E42"/>
    <w:rsid w:val="00AE3499"/>
    <w:rsid w:val="00B10200"/>
    <w:rsid w:val="00B15891"/>
    <w:rsid w:val="00B32898"/>
    <w:rsid w:val="00B521F1"/>
    <w:rsid w:val="00B55CE6"/>
    <w:rsid w:val="00B83D7E"/>
    <w:rsid w:val="00B83F1F"/>
    <w:rsid w:val="00B9789B"/>
    <w:rsid w:val="00BA1EE9"/>
    <w:rsid w:val="00BA502E"/>
    <w:rsid w:val="00BB18E5"/>
    <w:rsid w:val="00BD14C0"/>
    <w:rsid w:val="00BE1615"/>
    <w:rsid w:val="00BE442A"/>
    <w:rsid w:val="00BE7E9E"/>
    <w:rsid w:val="00BF5323"/>
    <w:rsid w:val="00BF5BF3"/>
    <w:rsid w:val="00C12A63"/>
    <w:rsid w:val="00C13459"/>
    <w:rsid w:val="00C27AFC"/>
    <w:rsid w:val="00C3642E"/>
    <w:rsid w:val="00C37A02"/>
    <w:rsid w:val="00C43397"/>
    <w:rsid w:val="00C50E0B"/>
    <w:rsid w:val="00C51DEF"/>
    <w:rsid w:val="00C55C2A"/>
    <w:rsid w:val="00C61582"/>
    <w:rsid w:val="00C728B8"/>
    <w:rsid w:val="00C87A9F"/>
    <w:rsid w:val="00CC24FC"/>
    <w:rsid w:val="00CD064E"/>
    <w:rsid w:val="00CE3B0A"/>
    <w:rsid w:val="00D03B92"/>
    <w:rsid w:val="00D12A5B"/>
    <w:rsid w:val="00D13DD0"/>
    <w:rsid w:val="00D15E7E"/>
    <w:rsid w:val="00D15F54"/>
    <w:rsid w:val="00D23345"/>
    <w:rsid w:val="00D277DD"/>
    <w:rsid w:val="00D4431E"/>
    <w:rsid w:val="00D46B81"/>
    <w:rsid w:val="00D478C1"/>
    <w:rsid w:val="00D574A5"/>
    <w:rsid w:val="00D706AA"/>
    <w:rsid w:val="00D754F6"/>
    <w:rsid w:val="00D81971"/>
    <w:rsid w:val="00D82FAD"/>
    <w:rsid w:val="00D84C2B"/>
    <w:rsid w:val="00D9203D"/>
    <w:rsid w:val="00DD5CE8"/>
    <w:rsid w:val="00DE15AD"/>
    <w:rsid w:val="00DE1B64"/>
    <w:rsid w:val="00E05068"/>
    <w:rsid w:val="00E22FDB"/>
    <w:rsid w:val="00E256C8"/>
    <w:rsid w:val="00E423C7"/>
    <w:rsid w:val="00E74792"/>
    <w:rsid w:val="00E840FE"/>
    <w:rsid w:val="00EA4121"/>
    <w:rsid w:val="00EB3BA7"/>
    <w:rsid w:val="00EB7CCF"/>
    <w:rsid w:val="00EC11FD"/>
    <w:rsid w:val="00EC51AC"/>
    <w:rsid w:val="00F02273"/>
    <w:rsid w:val="00F20CBC"/>
    <w:rsid w:val="00F23AE0"/>
    <w:rsid w:val="00F64130"/>
    <w:rsid w:val="00F649DA"/>
    <w:rsid w:val="00F72896"/>
    <w:rsid w:val="00F7696C"/>
    <w:rsid w:val="00F82DF0"/>
    <w:rsid w:val="00F87291"/>
    <w:rsid w:val="00F87422"/>
    <w:rsid w:val="00F94F67"/>
    <w:rsid w:val="00FA06D6"/>
    <w:rsid w:val="00FA231C"/>
    <w:rsid w:val="00FC57F7"/>
    <w:rsid w:val="00FD1CED"/>
    <w:rsid w:val="00FE580D"/>
    <w:rsid w:val="00FE772D"/>
    <w:rsid w:val="00FE7835"/>
    <w:rsid w:val="00FF0D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1CA178D"/>
  <w14:defaultImageDpi w14:val="0"/>
  <w15:docId w15:val="{39977767-A798-4F6D-8234-74C78EDC5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jc w:val="both"/>
    </w:pPr>
    <w:rPr>
      <w:rFonts w:ascii="Arial" w:hAnsi="Arial" w:cs="Arial"/>
      <w:lang w:eastAsia="en-US"/>
    </w:rPr>
  </w:style>
  <w:style w:type="paragraph" w:styleId="Heading1">
    <w:name w:val="heading 1"/>
    <w:basedOn w:val="Normal"/>
    <w:next w:val="Normal"/>
    <w:link w:val="Heading1Char"/>
    <w:uiPriority w:val="99"/>
    <w:qFormat/>
    <w:pPr>
      <w:keepNext/>
      <w:numPr>
        <w:numId w:val="11"/>
      </w:numPr>
      <w:spacing w:before="240" w:after="60"/>
      <w:outlineLvl w:val="0"/>
    </w:pPr>
    <w:rPr>
      <w:b/>
      <w:bCs/>
      <w:caps/>
      <w:kern w:val="28"/>
    </w:rPr>
  </w:style>
  <w:style w:type="paragraph" w:styleId="Heading2">
    <w:name w:val="heading 2"/>
    <w:basedOn w:val="Normal"/>
    <w:next w:val="Normal"/>
    <w:link w:val="Heading2Char"/>
    <w:uiPriority w:val="99"/>
    <w:qFormat/>
    <w:pPr>
      <w:keepNext/>
      <w:numPr>
        <w:ilvl w:val="1"/>
        <w:numId w:val="3"/>
      </w:numPr>
      <w:spacing w:before="240" w:after="60"/>
      <w:outlineLvl w:val="1"/>
    </w:pPr>
    <w:rPr>
      <w:b/>
      <w:bCs/>
    </w:rPr>
  </w:style>
  <w:style w:type="paragraph" w:styleId="Heading3">
    <w:name w:val="heading 3"/>
    <w:basedOn w:val="Normal"/>
    <w:next w:val="Normal"/>
    <w:link w:val="Heading3Char"/>
    <w:uiPriority w:val="99"/>
    <w:qFormat/>
    <w:pPr>
      <w:keepNext/>
      <w:spacing w:after="120"/>
      <w:outlineLvl w:val="2"/>
    </w:pPr>
    <w:rPr>
      <w:vanish/>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9"/>
    <w:locked/>
    <w:rPr>
      <w:rFonts w:ascii="Arial" w:hAnsi="Arial" w:cs="Arial"/>
      <w:b/>
      <w:bCs/>
      <w:lang w:val="en-A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x-none" w:eastAsia="en-US"/>
    </w:rPr>
  </w:style>
  <w:style w:type="paragraph" w:styleId="BalloonText">
    <w:name w:val="Balloon Text"/>
    <w:basedOn w:val="Normal"/>
    <w:link w:val="BalloonTextChar"/>
    <w:uiPriority w:val="99"/>
    <w:semiHidden/>
    <w:rsid w:val="00C87A9F"/>
    <w:pPr>
      <w:jc w:val="left"/>
    </w:pPr>
    <w:rPr>
      <w:rFonts w:ascii="Tahoma" w:hAnsi="Tahoma" w:cs="Tahoma"/>
      <w:sz w:val="16"/>
      <w:szCs w:val="16"/>
      <w:lang w:eastAsia="en-AU"/>
    </w:rPr>
  </w:style>
  <w:style w:type="character" w:customStyle="1" w:styleId="BalloonTextChar">
    <w:name w:val="Balloon Text Char"/>
    <w:basedOn w:val="DefaultParagraphFont"/>
    <w:link w:val="BalloonText"/>
    <w:uiPriority w:val="99"/>
    <w:semiHidden/>
    <w:locked/>
    <w:rPr>
      <w:rFonts w:ascii="Tahoma" w:hAnsi="Tahoma" w:cs="Tahoma"/>
      <w:sz w:val="16"/>
      <w:szCs w:val="16"/>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Arial"/>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Arial"/>
      <w:lang w:val="x-none" w:eastAsia="en-US"/>
    </w:rPr>
  </w:style>
  <w:style w:type="character" w:styleId="Hyperlink">
    <w:name w:val="Hyperlink"/>
    <w:basedOn w:val="DefaultParagraphFont"/>
    <w:uiPriority w:val="99"/>
    <w:rsid w:val="008C7767"/>
    <w:rPr>
      <w:rFonts w:ascii="Arial" w:hAnsi="Arial" w:cs="Times New Roman"/>
      <w:color w:val="C00000"/>
      <w:sz w:val="22"/>
      <w:u w:val="single"/>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locked/>
    <w:rPr>
      <w:rFonts w:ascii="Arial" w:hAnsi="Arial" w:cs="Arial"/>
      <w:lang w:val="x-none" w:eastAsia="en-US"/>
    </w:rPr>
  </w:style>
  <w:style w:type="character" w:styleId="PageNumber">
    <w:name w:val="page number"/>
    <w:basedOn w:val="DefaultParagraphFont"/>
    <w:uiPriority w:val="99"/>
    <w:rPr>
      <w:rFonts w:ascii="Times New Roman" w:hAnsi="Times New Roman" w:cs="Times New Roman"/>
    </w:rPr>
  </w:style>
  <w:style w:type="paragraph" w:styleId="BodyText2">
    <w:name w:val="Body Text 2"/>
    <w:basedOn w:val="Normal"/>
    <w:link w:val="BodyText2Char"/>
    <w:uiPriority w:val="99"/>
  </w:style>
  <w:style w:type="character" w:customStyle="1" w:styleId="BodyText2Char">
    <w:name w:val="Body Text 2 Char"/>
    <w:basedOn w:val="DefaultParagraphFont"/>
    <w:link w:val="BodyText2"/>
    <w:uiPriority w:val="99"/>
    <w:semiHidden/>
    <w:locked/>
    <w:rPr>
      <w:rFonts w:ascii="Arial" w:hAnsi="Arial" w:cs="Arial"/>
      <w:lang w:val="x-none" w:eastAsia="en-US"/>
    </w:rPr>
  </w:style>
  <w:style w:type="character" w:styleId="FollowedHyperlink">
    <w:name w:val="FollowedHyperlink"/>
    <w:basedOn w:val="DefaultParagraphFont"/>
    <w:uiPriority w:val="99"/>
    <w:rPr>
      <w:rFonts w:ascii="Times New Roman" w:hAnsi="Times New Roman" w:cs="Times New Roman"/>
      <w:color w:val="800080"/>
      <w:u w:val="single"/>
    </w:rPr>
  </w:style>
  <w:style w:type="paragraph" w:customStyle="1" w:styleId="DocumentContent">
    <w:name w:val="Document Content"/>
    <w:basedOn w:val="Normal"/>
    <w:link w:val="DocumentContentChar"/>
    <w:rsid w:val="00A0259E"/>
    <w:pPr>
      <w:spacing w:after="120"/>
      <w:jc w:val="left"/>
    </w:pPr>
    <w:rPr>
      <w:rFonts w:cs="Times New Roman"/>
      <w:bCs/>
      <w:szCs w:val="20"/>
    </w:rPr>
  </w:style>
  <w:style w:type="character" w:customStyle="1" w:styleId="DocumentContentChar">
    <w:name w:val="Document Content Char"/>
    <w:basedOn w:val="DefaultParagraphFont"/>
    <w:link w:val="DocumentContent"/>
    <w:locked/>
    <w:rsid w:val="00A0259E"/>
    <w:rPr>
      <w:rFonts w:ascii="Arial" w:hAnsi="Arial" w:cs="Times New Roman"/>
      <w:bCs/>
      <w:sz w:val="20"/>
      <w:szCs w:val="20"/>
      <w:lang w:val="x-none" w:eastAsia="en-US"/>
    </w:rPr>
  </w:style>
  <w:style w:type="character" w:styleId="CommentReference">
    <w:name w:val="annotation reference"/>
    <w:basedOn w:val="DefaultParagraphFont"/>
    <w:uiPriority w:val="99"/>
    <w:rsid w:val="007C1053"/>
    <w:rPr>
      <w:sz w:val="16"/>
      <w:szCs w:val="16"/>
    </w:rPr>
  </w:style>
  <w:style w:type="paragraph" w:styleId="CommentText">
    <w:name w:val="annotation text"/>
    <w:basedOn w:val="Normal"/>
    <w:link w:val="CommentTextChar"/>
    <w:uiPriority w:val="99"/>
    <w:rsid w:val="007C1053"/>
    <w:rPr>
      <w:sz w:val="20"/>
      <w:szCs w:val="20"/>
    </w:rPr>
  </w:style>
  <w:style w:type="character" w:customStyle="1" w:styleId="CommentTextChar">
    <w:name w:val="Comment Text Char"/>
    <w:basedOn w:val="DefaultParagraphFont"/>
    <w:link w:val="CommentText"/>
    <w:uiPriority w:val="99"/>
    <w:rsid w:val="007C1053"/>
    <w:rPr>
      <w:rFonts w:ascii="Arial" w:hAnsi="Arial" w:cs="Arial"/>
      <w:sz w:val="20"/>
      <w:szCs w:val="20"/>
      <w:lang w:eastAsia="en-US"/>
    </w:rPr>
  </w:style>
  <w:style w:type="paragraph" w:styleId="CommentSubject">
    <w:name w:val="annotation subject"/>
    <w:basedOn w:val="CommentText"/>
    <w:next w:val="CommentText"/>
    <w:link w:val="CommentSubjectChar"/>
    <w:uiPriority w:val="99"/>
    <w:rsid w:val="007C1053"/>
    <w:rPr>
      <w:b/>
      <w:bCs/>
    </w:rPr>
  </w:style>
  <w:style w:type="character" w:customStyle="1" w:styleId="CommentSubjectChar">
    <w:name w:val="Comment Subject Char"/>
    <w:basedOn w:val="CommentTextChar"/>
    <w:link w:val="CommentSubject"/>
    <w:uiPriority w:val="99"/>
    <w:rsid w:val="007C1053"/>
    <w:rPr>
      <w:rFonts w:ascii="Arial" w:hAnsi="Arial" w:cs="Arial"/>
      <w:b/>
      <w:bCs/>
      <w:sz w:val="20"/>
      <w:szCs w:val="20"/>
      <w:lang w:eastAsia="en-US"/>
    </w:rPr>
  </w:style>
  <w:style w:type="paragraph" w:styleId="ListParagraph">
    <w:name w:val="List Paragraph"/>
    <w:basedOn w:val="Normal"/>
    <w:uiPriority w:val="34"/>
    <w:qFormat/>
    <w:rsid w:val="00943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77009">
      <w:bodyDiv w:val="1"/>
      <w:marLeft w:val="0"/>
      <w:marRight w:val="0"/>
      <w:marTop w:val="0"/>
      <w:marBottom w:val="0"/>
      <w:divBdr>
        <w:top w:val="none" w:sz="0" w:space="0" w:color="auto"/>
        <w:left w:val="none" w:sz="0" w:space="0" w:color="auto"/>
        <w:bottom w:val="none" w:sz="0" w:space="0" w:color="auto"/>
        <w:right w:val="none" w:sz="0" w:space="0" w:color="auto"/>
      </w:divBdr>
    </w:div>
    <w:div w:id="101727653">
      <w:marLeft w:val="0"/>
      <w:marRight w:val="0"/>
      <w:marTop w:val="0"/>
      <w:marBottom w:val="0"/>
      <w:divBdr>
        <w:top w:val="none" w:sz="0" w:space="0" w:color="auto"/>
        <w:left w:val="none" w:sz="0" w:space="0" w:color="auto"/>
        <w:bottom w:val="none" w:sz="0" w:space="0" w:color="auto"/>
        <w:right w:val="none" w:sz="0" w:space="0" w:color="auto"/>
      </w:divBdr>
    </w:div>
    <w:div w:id="153946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pims.sa.gov.au/bpims/library/showLibrary.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vironment.sa.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F2C1F-0320-4804-9E28-22BA366099F4}">
  <ds:schemaRefs>
    <ds:schemaRef ds:uri="http://schemas.openxmlformats.org/officeDocument/2006/bibliography"/>
  </ds:schemaRefs>
</ds:datastoreItem>
</file>

<file path=docMetadata/LabelInfo.xml><?xml version="1.0" encoding="utf-8"?>
<clbl:labelList xmlns:clbl="http://schemas.microsoft.com/office/2020/mipLabelMetadata">
  <clbl:label id="{77274858-3b1d-4431-8679-d878f40e28fd}" enabled="1" method="Privileged" siteId="{bda528f7-fca9-432f-bc98-bd7e90d40906}" contentBits="1" removed="0"/>
</clbl:labelList>
</file>

<file path=docProps/app.xml><?xml version="1.0" encoding="utf-8"?>
<Properties xmlns="http://schemas.openxmlformats.org/officeDocument/2006/extended-properties" xmlns:vt="http://schemas.openxmlformats.org/officeDocument/2006/docPropsVTypes">
  <Template>Normal</Template>
  <TotalTime>64</TotalTime>
  <Pages>6</Pages>
  <Words>2356</Words>
  <Characters>14237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SCHEDULE 4:</vt:lpstr>
    </vt:vector>
  </TitlesOfParts>
  <Company>DTEI</Company>
  <LinksUpToDate>false</LinksUpToDate>
  <CharactersWithSpaces>16560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CarrJ01</dc:creator>
  <cp:keywords/>
  <dc:description/>
  <cp:lastModifiedBy>Hems, Ralph (DHUD)</cp:lastModifiedBy>
  <cp:revision>13</cp:revision>
  <cp:lastPrinted>2018-12-11T05:09:00Z</cp:lastPrinted>
  <dcterms:created xsi:type="dcterms:W3CDTF">2024-03-06T06:49:00Z</dcterms:created>
  <dcterms:modified xsi:type="dcterms:W3CDTF">2025-01-20T04:32:00Z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7274858-3b1d-4431-8679-d878f40e28fd_Enabled">
    <vt:lpwstr>true</vt:lpwstr>
  </property>
  <property fmtid="{D5CDD505-2E9C-101B-9397-08002B2CF9AE}" pid="3" name="MSIP_Label_77274858-3b1d-4431-8679-d878f40e28fd_SetDate">
    <vt:lpwstr>2022-09-29T01:32:06Z</vt:lpwstr>
  </property>
  <property fmtid="{D5CDD505-2E9C-101B-9397-08002B2CF9AE}" pid="4" name="MSIP_Label_77274858-3b1d-4431-8679-d878f40e28fd_Method">
    <vt:lpwstr>Privileged</vt:lpwstr>
  </property>
  <property fmtid="{D5CDD505-2E9C-101B-9397-08002B2CF9AE}" pid="5" name="MSIP_Label_77274858-3b1d-4431-8679-d878f40e28fd_Name">
    <vt:lpwstr>-Official</vt:lpwstr>
  </property>
  <property fmtid="{D5CDD505-2E9C-101B-9397-08002B2CF9AE}" pid="6" name="MSIP_Label_77274858-3b1d-4431-8679-d878f40e28fd_SiteId">
    <vt:lpwstr>bda528f7-fca9-432f-bc98-bd7e90d40906</vt:lpwstr>
  </property>
  <property fmtid="{D5CDD505-2E9C-101B-9397-08002B2CF9AE}" pid="7" name="MSIP_Label_77274858-3b1d-4431-8679-d878f40e28fd_ActionId">
    <vt:lpwstr>01ea184b-ef71-4685-a847-869c8744577c</vt:lpwstr>
  </property>
  <property fmtid="{D5CDD505-2E9C-101B-9397-08002B2CF9AE}" pid="8" name="MSIP_Label_77274858-3b1d-4431-8679-d878f40e28fd_ContentBits">
    <vt:lpwstr>1</vt:lpwstr>
  </property>
</Properties>
</file>